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836F80" w:rsidRDefault="001B382C" w:rsidP="00836F80">
      <w:pPr>
        <w:pStyle w:val="Styl1"/>
      </w:pPr>
      <w:r>
        <w:tab/>
        <w:t>-</w:t>
      </w:r>
      <w:r w:rsidR="001F5035">
        <w:t xml:space="preserve"> o grubości</w:t>
      </w:r>
      <w:r>
        <w:t xml:space="preserve"> 30 cm – konstrukcja nawierzchni zjazdów bitumicznych,</w:t>
      </w:r>
    </w:p>
    <w:p w:rsidR="001B382C" w:rsidRDefault="001B382C" w:rsidP="001B382C">
      <w:pPr>
        <w:pStyle w:val="Styl1"/>
      </w:pPr>
      <w:r>
        <w:tab/>
        <w:t xml:space="preserve">- o grubości 20 cm – konstrukcja nawierzchni </w:t>
      </w:r>
      <w:r w:rsidR="006244F0" w:rsidRPr="006244F0">
        <w:t>jezdni, poszerzenie jezdni na skrzyżowaniu</w:t>
      </w:r>
    </w:p>
    <w:p w:rsidR="001B382C" w:rsidRDefault="001B382C" w:rsidP="00836F80">
      <w:pPr>
        <w:pStyle w:val="Styl1"/>
      </w:pPr>
      <w:r>
        <w:t>.</w:t>
      </w: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rsidR="00836F80" w:rsidRDefault="00836F80" w:rsidP="00836F80">
      <w:pPr>
        <w:pStyle w:val="Styl1"/>
      </w:pPr>
    </w:p>
    <w:p w:rsidR="00836F80" w:rsidRDefault="00836F80" w:rsidP="00836F80">
      <w:pPr>
        <w:pStyle w:val="Styl1"/>
      </w:pPr>
      <w:r>
        <w:t>Materiałem do wykonania podbudowy z kru</w:t>
      </w:r>
      <w:bookmarkStart w:id="17" w:name="_GoBack"/>
      <w:bookmarkEnd w:id="17"/>
      <w:r>
        <w:t xml:space="preserve">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lastRenderedPageBreak/>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 xml:space="preserve">Minimalna liczba badań na </w:t>
            </w:r>
            <w:r>
              <w:rPr>
                <w:rFonts w:ascii="Arial" w:hAnsi="Arial" w:cs="Arial"/>
                <w:sz w:val="16"/>
              </w:rPr>
              <w:lastRenderedPageBreak/>
              <w:t>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lastRenderedPageBreak/>
              <w:t xml:space="preserve">Maksymalna powierzchnia podbudowy przy-padająca </w:t>
            </w:r>
            <w:r>
              <w:rPr>
                <w:rFonts w:ascii="Arial" w:hAnsi="Arial" w:cs="Arial"/>
                <w:sz w:val="16"/>
              </w:rPr>
              <w:lastRenderedPageBreak/>
              <w:t>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lastRenderedPageBreak/>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pt;height:33.55pt" o:ole="">
            <v:imagedata r:id="rId7" o:title=""/>
          </v:shape>
          <o:OLEObject Type="Embed" ProgID="Equation.3" ShapeID="_x0000_i1025" DrawAspect="Content" ObjectID="_1567097724"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1pt;height:37.05pt" o:ole="" fillcolor="window">
            <v:imagedata r:id="rId9" o:title=""/>
          </v:shape>
          <o:OLEObject Type="Embed" ProgID="Equation.3" ShapeID="_x0000_i1026" DrawAspect="Content" ObjectID="_1567097725"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lastRenderedPageBreak/>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9F7300">
      <w:headerReference w:type="even" r:id="rId11"/>
      <w:headerReference w:type="default" r:id="rId12"/>
      <w:footerReference w:type="even" r:id="rId13"/>
      <w:footerReference w:type="default" r:id="rId14"/>
      <w:pgSz w:w="11906" w:h="16838"/>
      <w:pgMar w:top="1417" w:right="1417" w:bottom="1417" w:left="1417" w:header="708" w:footer="708" w:gutter="0"/>
      <w:pgNumType w:start="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737" w:rsidRDefault="00F96737" w:rsidP="00836F80">
      <w:pPr>
        <w:spacing w:before="0" w:after="0"/>
      </w:pPr>
      <w:r>
        <w:separator/>
      </w:r>
    </w:p>
  </w:endnote>
  <w:endnote w:type="continuationSeparator" w:id="0">
    <w:p w:rsidR="00F96737" w:rsidRDefault="00F96737"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9F7300">
          <w:rPr>
            <w:rFonts w:ascii="Arial" w:hAnsi="Arial" w:cs="Arial"/>
            <w:noProof/>
            <w:sz w:val="18"/>
          </w:rPr>
          <w:t>62</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737" w:rsidRDefault="00F96737" w:rsidP="00836F80">
      <w:pPr>
        <w:spacing w:before="0" w:after="0"/>
      </w:pPr>
      <w:r>
        <w:separator/>
      </w:r>
    </w:p>
  </w:footnote>
  <w:footnote w:type="continuationSeparator" w:id="0">
    <w:p w:rsidR="00F96737" w:rsidRDefault="00F96737"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44F0"/>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30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6737"/>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2508</Words>
  <Characters>15048</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21</cp:revision>
  <dcterms:created xsi:type="dcterms:W3CDTF">2014-04-01T14:02:00Z</dcterms:created>
  <dcterms:modified xsi:type="dcterms:W3CDTF">2017-09-16T18:09:00Z</dcterms:modified>
</cp:coreProperties>
</file>