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bookmarkStart w:id="0" w:name="_GoBack"/>
      <w:bookmarkEnd w:id="0"/>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lastRenderedPageBreak/>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lastRenderedPageBreak/>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628886700"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8.5pt" o:ole="">
                  <v:imagedata r:id="rId7" o:title=""/>
                </v:shape>
                <o:OLEObject Type="Embed" ProgID="Equation.3" ShapeID="_x0000_i1026" DrawAspect="Content" ObjectID="_1628886701"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lastRenderedPageBreak/>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2648BF" w:rsidRDefault="002648BF" w:rsidP="002648BF">
      <w:pPr>
        <w:pStyle w:val="Styl1"/>
      </w:pPr>
      <w:r>
        <w:lastRenderedPageBreak/>
        <w:t>Przed przystąpieniem do wykonania warstw z betonu asfaltowego Wykonawca wykona odcinek próbny dla warstwy wyrównawczej i ścieralnej z betonu asfaltowego dotyczących konstrukcji nawierzchni jezdni drogi powiatowej, w celu uściślenia organizacji wytwarzania i układania oraz ustalenia warunków zagęszczania i uzyskiwanych parametrów jakościowych.</w:t>
      </w:r>
    </w:p>
    <w:p w:rsidR="002648BF" w:rsidRDefault="002648BF" w:rsidP="002648BF">
      <w:pPr>
        <w:pStyle w:val="Styl1"/>
      </w:pPr>
      <w:r>
        <w:t>Odcinek próbny powinien być zlokalizowany w miejscu uzgodnionym z Inżynierem. Powierzchnia odcinka próbnego powinna wynosić co najmniej 1000 m</w:t>
      </w:r>
      <w:r>
        <w:rPr>
          <w:vertAlign w:val="superscript"/>
        </w:rPr>
        <w:t>2</w:t>
      </w:r>
      <w:r>
        <w:t>. Na odcinku próbnym Wykonawca powinien użyć takich materiałów oraz sprzętu jakie zamierza stosować do wykonania warstw bitumicznych.</w:t>
      </w:r>
    </w:p>
    <w:p w:rsidR="00AD4ECB" w:rsidRDefault="002648BF" w:rsidP="002648BF">
      <w:pPr>
        <w:pStyle w:val="Styl1"/>
      </w:pPr>
      <w:r>
        <w:t>Wykonawca może przystąpić do realizacji robót po zaakceptowaniu przez Inżyniera technologii wbudowania i zagęszczania oraz wyników z odcinka próbnego.</w:t>
      </w:r>
    </w:p>
    <w:p w:rsidR="002648BF" w:rsidRDefault="002648BF" w:rsidP="002648BF">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lastRenderedPageBreak/>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 xml:space="preserve">uzyskać wymagane dokumenty, dopuszczające wyroby budowlane do obrotu i powszechnego stosowania (np. stwierdzenie o oznakowaniu materiału znakiem CE lub znakiem budowlanym B, </w:t>
      </w:r>
      <w:r>
        <w:lastRenderedPageBreak/>
        <w:t>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lastRenderedPageBreak/>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lastRenderedPageBreak/>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lastRenderedPageBreak/>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lastRenderedPageBreak/>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lastRenderedPageBreak/>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85486F">
      <w:headerReference w:type="even" r:id="rId10"/>
      <w:headerReference w:type="default" r:id="rId11"/>
      <w:footerReference w:type="even" r:id="rId12"/>
      <w:footerReference w:type="default" r:id="rId13"/>
      <w:pgSz w:w="11906" w:h="16838"/>
      <w:pgMar w:top="1417" w:right="1417" w:bottom="1417" w:left="1417" w:header="708" w:footer="708" w:gutter="0"/>
      <w:pgNumType w:start="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B58" w:rsidRDefault="00762B58" w:rsidP="00EB7DA1">
      <w:r>
        <w:separator/>
      </w:r>
    </w:p>
  </w:endnote>
  <w:endnote w:type="continuationSeparator" w:id="0">
    <w:p w:rsidR="00762B58" w:rsidRDefault="00762B58"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85486F">
          <w:rPr>
            <w:rFonts w:ascii="Arial" w:hAnsi="Arial" w:cs="Arial"/>
            <w:noProof/>
            <w:sz w:val="20"/>
          </w:rPr>
          <w:t>82</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B58" w:rsidRDefault="00762B58" w:rsidP="00EB7DA1">
      <w:r>
        <w:separator/>
      </w:r>
    </w:p>
  </w:footnote>
  <w:footnote w:type="continuationSeparator" w:id="0">
    <w:p w:rsidR="00762B58" w:rsidRDefault="00762B58"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3F30"/>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8BF"/>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1651"/>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0B7"/>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2B58"/>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486F"/>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2E3D"/>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55FE8"/>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AA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5900"/>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50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16</Pages>
  <Words>5853</Words>
  <Characters>35118</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26</cp:revision>
  <dcterms:created xsi:type="dcterms:W3CDTF">2015-01-12T21:44:00Z</dcterms:created>
  <dcterms:modified xsi:type="dcterms:W3CDTF">2019-09-01T21:45:00Z</dcterms:modified>
</cp:coreProperties>
</file>