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bookmarkStart w:id="0" w:name="_GoBack"/>
      <w:r>
        <w:t>Właściwości drogowych emulsji kationowych niemodyfikowanych powinny spełniać wymagania podane w poniższej tablicy 2 wg Wymaganiach technicznych - Kationowe emulsje asfaltowe na drogach publicznych WT-3”.</w:t>
      </w:r>
    </w:p>
    <w:bookmarkEnd w:id="0"/>
    <w:p w:rsidR="00EF5727" w:rsidRDefault="00EF5727" w:rsidP="00EF5727">
      <w:pPr>
        <w:pStyle w:val="TEKST1Tre"/>
        <w:spacing w:before="0"/>
      </w:pPr>
      <w:r>
        <w:t>Metody badań podane w punktach j.w.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 na połączeniach międzywarstwowych</w:t>
      </w:r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Lepkość wg Englera</w:t>
            </w:r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1432C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6B0" w:rsidRDefault="006806B0" w:rsidP="00EF5727">
      <w:pPr>
        <w:spacing w:after="0" w:line="240" w:lineRule="auto"/>
      </w:pPr>
      <w:r>
        <w:separator/>
      </w:r>
    </w:p>
  </w:endnote>
  <w:endnote w:type="continuationSeparator" w:id="0">
    <w:p w:rsidR="006806B0" w:rsidRDefault="006806B0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1432C7">
          <w:rPr>
            <w:rFonts w:ascii="Arial" w:hAnsi="Arial" w:cs="Arial"/>
            <w:noProof/>
            <w:sz w:val="20"/>
          </w:rPr>
          <w:t>68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 w:rsidP="001432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6B0" w:rsidRDefault="006806B0" w:rsidP="00EF5727">
      <w:pPr>
        <w:spacing w:after="0" w:line="240" w:lineRule="auto"/>
      </w:pPr>
      <w:r>
        <w:separator/>
      </w:r>
    </w:p>
  </w:footnote>
  <w:footnote w:type="continuationSeparator" w:id="0">
    <w:p w:rsidR="006806B0" w:rsidRDefault="006806B0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32C7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06B0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dcterms:created xsi:type="dcterms:W3CDTF">2014-04-01T14:20:00Z</dcterms:created>
  <dcterms:modified xsi:type="dcterms:W3CDTF">2017-09-16T18:10:00Z</dcterms:modified>
</cp:coreProperties>
</file>