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836F80" w:rsidRDefault="001B382C" w:rsidP="00836F80">
      <w:pPr>
        <w:pStyle w:val="Styl1"/>
      </w:pPr>
      <w:r>
        <w:tab/>
        <w:t>-</w:t>
      </w:r>
      <w:r w:rsidR="001F5035">
        <w:t xml:space="preserve"> o grubości</w:t>
      </w:r>
      <w:r w:rsidR="005C43E0">
        <w:t xml:space="preserve"> 1</w:t>
      </w:r>
      <w:r w:rsidR="001925A7">
        <w:t>0</w:t>
      </w:r>
      <w:r>
        <w:t xml:space="preserve"> cm – konstrukcja nawierzchni </w:t>
      </w:r>
      <w:r w:rsidR="005C43E0">
        <w:t>ścieżki pieszo-rowerowej,</w:t>
      </w:r>
    </w:p>
    <w:p w:rsidR="001B382C" w:rsidRDefault="001B382C" w:rsidP="005C43E0">
      <w:pPr>
        <w:pStyle w:val="Styl1"/>
      </w:pPr>
      <w:r>
        <w:tab/>
        <w:t xml:space="preserve">- o grubości 20 cm – konstrukcja nawierzchni </w:t>
      </w:r>
      <w:r w:rsidR="005C43E0">
        <w:t>zjazdów z kostki betonowej,</w:t>
      </w:r>
    </w:p>
    <w:p w:rsidR="005C43E0" w:rsidRDefault="005C43E0" w:rsidP="005C43E0">
      <w:pPr>
        <w:pStyle w:val="Styl1"/>
      </w:pPr>
      <w:r>
        <w:tab/>
      </w:r>
      <w:r>
        <w:t>-</w:t>
      </w:r>
      <w:r>
        <w:t xml:space="preserve"> o grubości 25</w:t>
      </w:r>
      <w:r>
        <w:t xml:space="preserve"> cm – konstrukcja nawierzchni </w:t>
      </w:r>
      <w:r>
        <w:t>zjazdów bitumicznych.</w:t>
      </w:r>
      <w:bookmarkStart w:id="0" w:name="_GoBack"/>
      <w:bookmarkEnd w:id="0"/>
    </w:p>
    <w:p w:rsidR="005C43E0" w:rsidRDefault="005C43E0" w:rsidP="001B382C">
      <w:pPr>
        <w:pStyle w:val="Styl1"/>
      </w:pPr>
    </w:p>
    <w:p w:rsidR="002A0461" w:rsidRDefault="002A0461" w:rsidP="00836F80">
      <w:pPr>
        <w:pStyle w:val="Styl1"/>
      </w:pP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1" w:name="_Toc407086046"/>
      <w:bookmarkStart w:id="2" w:name="_Toc407085598"/>
      <w:bookmarkStart w:id="3" w:name="_Toc407085455"/>
      <w:bookmarkStart w:id="4" w:name="_Toc407085312"/>
      <w:bookmarkStart w:id="5" w:name="_Toc407084193"/>
      <w:bookmarkStart w:id="6" w:name="_Toc407083359"/>
      <w:bookmarkStart w:id="7" w:name="_Toc407081703"/>
      <w:bookmarkStart w:id="8" w:name="_Toc407081560"/>
      <w:bookmarkStart w:id="9" w:name="_Toc407069595"/>
      <w:bookmarkStart w:id="10" w:name="_Toc406984387"/>
      <w:bookmarkStart w:id="11" w:name="_Toc406984196"/>
      <w:bookmarkStart w:id="12" w:name="_Toc406984049"/>
      <w:bookmarkStart w:id="13" w:name="_Toc406915356"/>
      <w:bookmarkStart w:id="14" w:name="_Toc406914881"/>
      <w:bookmarkStart w:id="15" w:name="_Toc406914778"/>
      <w:bookmarkStart w:id="16" w:name="_Toc406914124"/>
      <w:bookmarkStart w:id="17"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lastRenderedPageBreak/>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lastRenderedPageBreak/>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lastRenderedPageBreak/>
        <w:t>5.3. Wytwarzanie mieszanki kruszywa</w:t>
      </w:r>
    </w:p>
    <w:p w:rsidR="00836F80" w:rsidRDefault="00836F80" w:rsidP="00836F80">
      <w:pPr>
        <w:pStyle w:val="Styl1"/>
      </w:pPr>
    </w:p>
    <w:p w:rsidR="00836F80" w:rsidRDefault="00836F80" w:rsidP="00836F80">
      <w:pPr>
        <w:pStyle w:val="Styl1"/>
      </w:pPr>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602843948"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602843949"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rsidR="00542779" w:rsidRPr="00836F80" w:rsidRDefault="00542779" w:rsidP="00836F80"/>
    <w:sectPr w:rsidR="00542779" w:rsidRPr="00836F80" w:rsidSect="00DE4BA9">
      <w:headerReference w:type="even" r:id="rId11"/>
      <w:headerReference w:type="default" r:id="rId12"/>
      <w:footerReference w:type="even" r:id="rId13"/>
      <w:footerReference w:type="default" r:id="rId14"/>
      <w:pgSz w:w="11906" w:h="16838"/>
      <w:pgMar w:top="1417" w:right="1417" w:bottom="1417" w:left="1417" w:header="708" w:footer="708" w:gutter="0"/>
      <w:pgNumType w:start="7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DFE" w:rsidRDefault="00274DFE" w:rsidP="00836F80">
      <w:pPr>
        <w:spacing w:before="0" w:after="0"/>
      </w:pPr>
      <w:r>
        <w:separator/>
      </w:r>
    </w:p>
  </w:endnote>
  <w:endnote w:type="continuationSeparator" w:id="0">
    <w:p w:rsidR="00274DFE" w:rsidRDefault="00274DFE"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5C43E0">
          <w:rPr>
            <w:rFonts w:ascii="Arial" w:hAnsi="Arial" w:cs="Arial"/>
            <w:noProof/>
            <w:sz w:val="18"/>
          </w:rPr>
          <w:t>80</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DFE" w:rsidRDefault="00274DFE" w:rsidP="00836F80">
      <w:pPr>
        <w:spacing w:before="0" w:after="0"/>
      </w:pPr>
      <w:r>
        <w:separator/>
      </w:r>
    </w:p>
  </w:footnote>
  <w:footnote w:type="continuationSeparator" w:id="0">
    <w:p w:rsidR="00274DFE" w:rsidRDefault="00274DFE"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25A7"/>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4DFE"/>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AFF"/>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43E0"/>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2D5E"/>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374AF"/>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4BA9"/>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76B4E"/>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8</Pages>
  <Words>2516</Words>
  <Characters>15097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23</cp:revision>
  <dcterms:created xsi:type="dcterms:W3CDTF">2014-04-01T14:02:00Z</dcterms:created>
  <dcterms:modified xsi:type="dcterms:W3CDTF">2018-11-04T12:39:00Z</dcterms:modified>
</cp:coreProperties>
</file>