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proofErr w:type="spellStart"/>
      <w:r>
        <w:t>j.w</w:t>
      </w:r>
      <w:proofErr w:type="spellEnd"/>
      <w:r>
        <w:t>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0" w:name="_Toc407069671"/>
      <w:bookmarkStart w:id="1" w:name="_Toc407081636"/>
      <w:bookmarkStart w:id="2" w:name="_Toc407081779"/>
      <w:bookmarkStart w:id="3" w:name="_Toc407083435"/>
      <w:bookmarkStart w:id="4" w:name="_Toc407084269"/>
      <w:bookmarkStart w:id="5" w:name="_Toc407085388"/>
      <w:bookmarkStart w:id="6" w:name="_Toc407085531"/>
      <w:bookmarkStart w:id="7" w:name="_Toc407085674"/>
      <w:bookmarkStart w:id="8" w:name="_Toc407086122"/>
      <w:r>
        <w:t>Składowanie lepiszczy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9" w:name="_Toc407069672"/>
      <w:bookmarkStart w:id="10" w:name="_Toc407081637"/>
      <w:bookmarkStart w:id="11" w:name="_Toc407081780"/>
      <w:bookmarkStart w:id="12" w:name="_Toc407083436"/>
      <w:bookmarkStart w:id="13" w:name="_Toc407084270"/>
      <w:bookmarkStart w:id="14" w:name="_Toc407085389"/>
      <w:bookmarkStart w:id="15" w:name="_Toc407085532"/>
      <w:bookmarkStart w:id="16" w:name="_Toc407085675"/>
      <w:bookmarkStart w:id="17" w:name="_Toc407086123"/>
      <w:r>
        <w:t>Sprzęt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8" w:name="_Toc407069673"/>
      <w:bookmarkStart w:id="19" w:name="_Toc407081638"/>
      <w:bookmarkStart w:id="20" w:name="_Toc407081781"/>
      <w:bookmarkStart w:id="21" w:name="_Toc407083437"/>
      <w:bookmarkStart w:id="22" w:name="_Toc407084271"/>
      <w:bookmarkStart w:id="23" w:name="_Toc407085390"/>
      <w:bookmarkStart w:id="24" w:name="_Toc407085533"/>
      <w:bookmarkStart w:id="25" w:name="_Toc407085676"/>
      <w:bookmarkStart w:id="26" w:name="_Toc407086124"/>
      <w:r>
        <w:t>Ogólne wymagania dotyczące sprzętu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7" w:name="_Toc407069674"/>
      <w:bookmarkStart w:id="28" w:name="_Toc407081639"/>
      <w:bookmarkStart w:id="29" w:name="_Toc407081782"/>
      <w:bookmarkStart w:id="30" w:name="_Toc407083438"/>
      <w:bookmarkStart w:id="31" w:name="_Toc407084272"/>
      <w:bookmarkStart w:id="32" w:name="_Toc407085391"/>
      <w:bookmarkStart w:id="33" w:name="_Toc407085534"/>
      <w:bookmarkStart w:id="34" w:name="_Toc407085677"/>
      <w:bookmarkStart w:id="35" w:name="_Toc407086125"/>
      <w:r>
        <w:t>Sprzęt do oczyszczania warstw nawierzchni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6" w:name="_Toc407069675"/>
      <w:bookmarkStart w:id="37" w:name="_Toc407081640"/>
      <w:bookmarkStart w:id="38" w:name="_Toc407081783"/>
      <w:bookmarkStart w:id="39" w:name="_Toc407083439"/>
      <w:bookmarkStart w:id="40" w:name="_Toc407084273"/>
      <w:bookmarkStart w:id="41" w:name="_Toc407085392"/>
      <w:bookmarkStart w:id="42" w:name="_Toc407085535"/>
      <w:bookmarkStart w:id="43" w:name="_Toc407085678"/>
      <w:bookmarkStart w:id="44" w:name="_Toc407086126"/>
      <w:r>
        <w:t>Sprzęt do skrapiania warstw nawierzchni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643C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83F" w:rsidRDefault="006B683F" w:rsidP="00EF5727">
      <w:pPr>
        <w:spacing w:after="0" w:line="240" w:lineRule="auto"/>
      </w:pPr>
      <w:r>
        <w:separator/>
      </w:r>
    </w:p>
  </w:endnote>
  <w:endnote w:type="continuationSeparator" w:id="0">
    <w:p w:rsidR="006B683F" w:rsidRDefault="006B683F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bookmarkStart w:id="45" w:name="_GoBack" w:displacedByCustomXml="prev"/>
      <w:bookmarkEnd w:id="45" w:displacedByCustomXml="prev"/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643C0E">
          <w:rPr>
            <w:rFonts w:ascii="Arial" w:hAnsi="Arial" w:cs="Arial"/>
            <w:noProof/>
            <w:sz w:val="20"/>
          </w:rPr>
          <w:t>53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 w:rsidP="001432C7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0E" w:rsidRDefault="00643C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83F" w:rsidRDefault="006B683F" w:rsidP="00EF5727">
      <w:pPr>
        <w:spacing w:after="0" w:line="240" w:lineRule="auto"/>
      </w:pPr>
      <w:r>
        <w:separator/>
      </w:r>
    </w:p>
  </w:footnote>
  <w:footnote w:type="continuationSeparator" w:id="0">
    <w:p w:rsidR="006B683F" w:rsidRDefault="006B683F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0E" w:rsidRDefault="00643C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32C7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0D68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3C0E"/>
    <w:rsid w:val="00654EBE"/>
    <w:rsid w:val="00657505"/>
    <w:rsid w:val="0066575C"/>
    <w:rsid w:val="00665903"/>
    <w:rsid w:val="00667095"/>
    <w:rsid w:val="00671000"/>
    <w:rsid w:val="00671130"/>
    <w:rsid w:val="00676E36"/>
    <w:rsid w:val="006806B0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683F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59E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19</cp:revision>
  <dcterms:created xsi:type="dcterms:W3CDTF">2014-04-01T14:20:00Z</dcterms:created>
  <dcterms:modified xsi:type="dcterms:W3CDTF">2018-06-07T18:28:00Z</dcterms:modified>
</cp:coreProperties>
</file>