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555A85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555A85" w:rsidP="00460BF2">
      <w:pPr>
        <w:pStyle w:val="TEKST1Tre"/>
        <w:spacing w:before="0"/>
      </w:pPr>
      <w:r>
        <w:t>Rury średnicy 40</w:t>
      </w:r>
      <w:r w:rsidR="0027443D">
        <w:t xml:space="preserve"> cm i 60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  <w:bookmarkStart w:id="3" w:name="_GoBack"/>
      <w:bookmarkEnd w:id="3"/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E3800" w:rsidRDefault="009E3800" w:rsidP="009A6027">
            <w:pPr>
              <w:rPr>
                <w:rFonts w:cs="Arial"/>
                <w:sz w:val="18"/>
              </w:rPr>
            </w:pPr>
          </w:p>
          <w:p w:rsidR="009E3800" w:rsidRPr="009E3800" w:rsidRDefault="009E3800" w:rsidP="009E3800">
            <w:pPr>
              <w:rPr>
                <w:rFonts w:cs="Arial"/>
                <w:sz w:val="18"/>
              </w:rPr>
            </w:pPr>
          </w:p>
          <w:p w:rsidR="009E3800" w:rsidRPr="009E3800" w:rsidRDefault="009E3800" w:rsidP="009E3800">
            <w:pPr>
              <w:rPr>
                <w:rFonts w:cs="Arial"/>
                <w:sz w:val="18"/>
              </w:rPr>
            </w:pPr>
          </w:p>
          <w:p w:rsidR="0027443D" w:rsidRPr="009E3800" w:rsidRDefault="0027443D" w:rsidP="009E3800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Parametry rur:</w:t>
      </w:r>
    </w:p>
    <w:tbl>
      <w:tblPr>
        <w:tblW w:w="0" w:type="auto"/>
        <w:tblInd w:w="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1242"/>
        <w:gridCol w:w="1980"/>
        <w:gridCol w:w="1884"/>
        <w:gridCol w:w="1116"/>
      </w:tblGrid>
      <w:tr w:rsidR="0027443D" w:rsidTr="0076778D">
        <w:trPr>
          <w:cantSplit/>
          <w:trHeight w:val="402"/>
        </w:trPr>
        <w:tc>
          <w:tcPr>
            <w:tcW w:w="5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nominalna rury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24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Przekrój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</w:t>
            </w:r>
            <w:r>
              <w:rPr>
                <w:rFonts w:cs="Arial"/>
                <w:color w:val="auto"/>
                <w:sz w:val="18"/>
                <w:vertAlign w:val="superscript"/>
              </w:rPr>
              <w:t>2</w:t>
            </w:r>
            <w:r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198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wewnętrzna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8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zewnętrzna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11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Waga</w:t>
            </w:r>
            <w:proofErr w:type="spellEnd"/>
            <w:r>
              <w:rPr>
                <w:rFonts w:cs="Arial"/>
                <w:color w:val="auto"/>
                <w:sz w:val="18"/>
                <w:lang w:val="en-GB"/>
              </w:rPr>
              <w:t xml:space="preserve"> 1 </w:t>
            </w: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mb</w:t>
            </w:r>
            <w:proofErr w:type="spellEnd"/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r>
              <w:rPr>
                <w:rFonts w:cs="Arial"/>
                <w:color w:val="auto"/>
                <w:sz w:val="18"/>
                <w:lang w:val="en-GB"/>
              </w:rPr>
              <w:t>(kg/m)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0,5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970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36,9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1,70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1308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66,0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lastRenderedPageBreak/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lastRenderedPageBreak/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lastRenderedPageBreak/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lastRenderedPageBreak/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9C27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27" w:rsidRDefault="00CA1D27" w:rsidP="0065746F">
      <w:pPr>
        <w:spacing w:before="0"/>
      </w:pPr>
      <w:r>
        <w:separator/>
      </w:r>
    </w:p>
  </w:endnote>
  <w:endnote w:type="continuationSeparator" w:id="0">
    <w:p w:rsidR="00CA1D27" w:rsidRDefault="00CA1D27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9C27DD">
          <w:rPr>
            <w:noProof/>
          </w:rPr>
          <w:t>32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9E3800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9C27DD">
          <w:rPr>
            <w:noProof/>
          </w:rPr>
          <w:t>31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27" w:rsidRDefault="00CA1D27" w:rsidP="0065746F">
      <w:pPr>
        <w:spacing w:before="0"/>
      </w:pPr>
      <w:r>
        <w:separator/>
      </w:r>
    </w:p>
  </w:footnote>
  <w:footnote w:type="continuationSeparator" w:id="0">
    <w:p w:rsidR="00CA1D27" w:rsidRDefault="00CA1D27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46B3F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5A8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204C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7DD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3800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1D2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5497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ECB8D-66F0-4E6B-94A7-4566A8B2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1746</Words>
  <Characters>10480</Characters>
  <Application>Microsoft Office Word</Application>
  <DocSecurity>0</DocSecurity>
  <Lines>87</Lines>
  <Paragraphs>24</Paragraphs>
  <ScaleCrop>false</ScaleCrop>
  <Company/>
  <LinksUpToDate>false</LinksUpToDate>
  <CharactersWithSpaces>12202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2014-04-01T14:47:00Z</dcterms:created>
  <dcterms:modified xsi:type="dcterms:W3CDTF">2018-06-07T18:25:00Z</dcterms:modified>
</cp:coreProperties>
</file>