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68" w:rsidRDefault="005E3E68" w:rsidP="005E3E68">
      <w:pPr>
        <w:pStyle w:val="Styl1"/>
        <w:rPr>
          <w:b/>
          <w:bCs/>
          <w:sz w:val="22"/>
        </w:rPr>
      </w:pPr>
      <w:r>
        <w:rPr>
          <w:b/>
          <w:bCs/>
          <w:sz w:val="22"/>
        </w:rPr>
        <w:t>D.05.02.01 NAWIERZCHNIA POBOCZY ULEPSZONYCH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 WSTĘP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1.1. Przedmiot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Przedmiotem niniejszej Specyfikacji Technicznej Wykonania i Odbioru Robót Budowlanych (ST) są wymagania dotyczące wykonania i odbioru robót związanych z wykonaniem nawierzchni</w:t>
      </w:r>
      <w:r w:rsidR="00A43A0F">
        <w:t xml:space="preserve"> ulepszonych z kruszywa łamanego 0/31,5 stabilizow</w:t>
      </w:r>
      <w:r w:rsidR="001C7252">
        <w:t>anego mechanicznie o grubości 15</w:t>
      </w:r>
      <w:r w:rsidR="00A43A0F">
        <w:t>cm</w:t>
      </w:r>
      <w:r>
        <w:t>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1.2. Zakres stosowania ST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Niniejsza ST jest stosowana jako dokument przetargowy i kontraktowy przy zlecaniu i realizacji robót wymienionych w pkt. 1.1.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1.3. Zakres robót objętych ST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</w:pPr>
      <w:r>
        <w:t>Ustalenia zawarte w niniejszej specyfikacji dotyczą zasad prowadzenia robót związanych z wykonywaniem nawierzchni tłuczniowej dróg do pól, użytków rolnych i lasów, zgodnie z lokalizacją określoną w Dokumentacji Projektowej.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1.4. Określenia podstawowe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1.4.1. </w:t>
      </w:r>
      <w:r>
        <w:rPr>
          <w:rFonts w:ascii="Arial" w:hAnsi="Arial" w:cs="Arial"/>
        </w:rPr>
        <w:t>Nawierzchnia tłuczniowa - jedna lub więcej warstw z tłucznia i klińca kamiennego, leżących na podłożu naturalnym lub ulepszonym, zaklinowanych i uzdatnionych do bezpośredniego przejmowania ruchu.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1.4.2. </w:t>
      </w:r>
      <w:r>
        <w:rPr>
          <w:rFonts w:ascii="Arial" w:hAnsi="Arial" w:cs="Arial"/>
        </w:rPr>
        <w:t>Kruszywo łamane - materiał ziarnisty uzyskany przez mechaniczne rozdrobnienie skał litych.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 xml:space="preserve">Kruszywo łamane zwykłe - kruszywo uzyskane w wyniku co najmniej jednokrotnego </w:t>
      </w:r>
      <w:proofErr w:type="spellStart"/>
      <w:r>
        <w:rPr>
          <w:rFonts w:ascii="Arial" w:hAnsi="Arial" w:cs="Arial"/>
        </w:rPr>
        <w:t>przekruszenia</w:t>
      </w:r>
      <w:proofErr w:type="spellEnd"/>
      <w:r>
        <w:rPr>
          <w:rFonts w:ascii="Arial" w:hAnsi="Arial" w:cs="Arial"/>
        </w:rPr>
        <w:t xml:space="preserve"> skał litych i rozsiania na frakcje lub grupy frakcji, charakteryzujące się ziarnami </w:t>
      </w:r>
      <w:proofErr w:type="spellStart"/>
      <w:r>
        <w:rPr>
          <w:rFonts w:ascii="Arial" w:hAnsi="Arial" w:cs="Arial"/>
        </w:rPr>
        <w:t>ostrokrawędziastymi</w:t>
      </w:r>
      <w:proofErr w:type="spellEnd"/>
      <w:r>
        <w:rPr>
          <w:rFonts w:ascii="Arial" w:hAnsi="Arial" w:cs="Arial"/>
        </w:rPr>
        <w:t xml:space="preserve"> o nieforemnych kształtach.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1.4.4. </w:t>
      </w:r>
      <w:r>
        <w:rPr>
          <w:rFonts w:ascii="Arial" w:hAnsi="Arial" w:cs="Arial"/>
        </w:rPr>
        <w:t xml:space="preserve">Tłuczeń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31,5 mm do 63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1.4.5. </w:t>
      </w:r>
      <w:r>
        <w:rPr>
          <w:rFonts w:ascii="Arial" w:hAnsi="Arial" w:cs="Arial"/>
        </w:rPr>
        <w:t xml:space="preserve">Kliniec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4 mm do 31,5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1.4.6. </w:t>
      </w:r>
      <w:r>
        <w:rPr>
          <w:rFonts w:ascii="Arial" w:hAnsi="Arial" w:cs="Arial"/>
        </w:rPr>
        <w:t xml:space="preserve">Miał - kruszywo łamane zwykłe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1.4.7. </w:t>
      </w:r>
      <w:r>
        <w:rPr>
          <w:rFonts w:ascii="Arial" w:hAnsi="Arial" w:cs="Arial"/>
        </w:rPr>
        <w:t>Mieszanka drobna granulowana - kruszywo uzyskane w wyniku rozdrobnienia w granu</w:t>
      </w:r>
      <w:r w:rsidR="00A43A0F">
        <w:rPr>
          <w:rFonts w:ascii="Arial" w:hAnsi="Arial" w:cs="Arial"/>
        </w:rPr>
        <w:t xml:space="preserve">latorach </w:t>
      </w:r>
      <w:r>
        <w:rPr>
          <w:rFonts w:ascii="Arial" w:hAnsi="Arial" w:cs="Arial"/>
        </w:rPr>
        <w:t xml:space="preserve">łamanego kruszywa zwykłego, charakteryzujące się chropowatymi powierzchniami i foremnym kształtem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 stępionych krawędziach i narożach,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od 0,075 mm do 4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1.4.8. </w:t>
      </w:r>
      <w:r>
        <w:rPr>
          <w:rFonts w:ascii="Arial" w:hAnsi="Arial" w:cs="Arial"/>
        </w:rPr>
        <w:t xml:space="preserve">Piasek - kruszywo naturalne o wielkości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do 2 mm.</w:t>
      </w:r>
    </w:p>
    <w:p w:rsidR="005E3E68" w:rsidRDefault="005E3E68" w:rsidP="005E3E68">
      <w:pPr>
        <w:spacing w:before="12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1.4.3. </w:t>
      </w:r>
      <w:r>
        <w:rPr>
          <w:rFonts w:ascii="Arial" w:hAnsi="Arial" w:cs="Arial"/>
        </w:rPr>
        <w:t>Pozostałe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określenia podstawowe są zgodne z odpowiednimi polskimi normami oraz z definicjami podanymi w ST D-M-00.00.00 „Wymagania ogólne” pkt 1.4.</w:t>
      </w:r>
    </w:p>
    <w:p w:rsidR="005E3E68" w:rsidRDefault="005E3E68" w:rsidP="005E3E68">
      <w:pPr>
        <w:pStyle w:val="Styl1"/>
        <w:rPr>
          <w:b/>
          <w:bCs/>
        </w:rPr>
      </w:pPr>
      <w:bookmarkStart w:id="0" w:name="_GoBack"/>
      <w:bookmarkEnd w:id="0"/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1.5. Ogólne wymagania dotyczące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robót podano w ST DM.00.00.00 „Wymagania ogólne”.</w:t>
      </w:r>
    </w:p>
    <w:p w:rsidR="00A43A0F" w:rsidRDefault="00A43A0F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 MATERIAŁY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2.1. Ogólne wymagania dotyczące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1" w:name="_Toc405274761"/>
      <w:r>
        <w:rPr>
          <w:b/>
          <w:bCs/>
        </w:rPr>
        <w:t>2.2. Materiały do wykonania warstwy wyrównawczej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Materiałami stosowanymi przy wykonaniu nawierzchni tłuczniowej wg PN-S-96023 są: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kruszywo łamane zwykłe - tłuczeń i kliniec,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mieszanka drobna granulowana,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lastRenderedPageBreak/>
        <w:t>kruszywo do zamulenia górnej warstwy nawierzchni – miał lub piasek,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woda do skropienia podczas wałowania i zamulania.</w:t>
      </w:r>
    </w:p>
    <w:bookmarkEnd w:id="1"/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2.3. Wymagania dla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Wymagania dla kruszywa podano w tablicach 1 i 2.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1. Wymagania dla tłucznia i klińca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60"/>
        <w:gridCol w:w="2177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Ścieralność w bębnie kulowym (Los Angeles):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po pełnej liczbie obrotów, % ubytku masy, nie więcej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</w:t>
            </w:r>
          </w:p>
          <w:p w:rsidR="005E3E68" w:rsidRDefault="005E3E68" w:rsidP="005E3E68">
            <w:pPr>
              <w:numPr>
                <w:ilvl w:val="0"/>
                <w:numId w:val="6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1/5 pełnej liczby obrotów, % ubytku masy w stosunku do ubytku masy po pełnej liczbie obrotów, nie więcej niż:</w:t>
            </w:r>
          </w:p>
        </w:tc>
        <w:tc>
          <w:tcPr>
            <w:tcW w:w="160" w:type="dxa"/>
            <w:tcBorders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Nasiąkliwość, % (m/m), nie więcej niż: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7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mrozu, % ubytku masy, nie więcej niż: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magmowych i przeobrażonych</w:t>
            </w:r>
          </w:p>
          <w:p w:rsidR="005E3E68" w:rsidRDefault="005E3E68" w:rsidP="005E3E68">
            <w:pPr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dla kruszyw ze skał osadowych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10,0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Odporność na działanie mrozu wg zmodyfikowanej metody bezpośredniej, nie więcej niż: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klińcu,</w:t>
            </w:r>
          </w:p>
          <w:p w:rsidR="005E3E68" w:rsidRDefault="005E3E68" w:rsidP="005E3E68">
            <w:pPr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before="0"/>
              <w:ind w:left="284" w:hanging="284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tłuczniu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Uziarnienie:</w:t>
            </w:r>
          </w:p>
          <w:p w:rsidR="005E3E68" w:rsidRDefault="005E3E68" w:rsidP="005E3E68">
            <w:pPr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mniejszych niż 0,075 mm, odsianych na mokro,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- w klińcu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podstawowej w tłuczniu lub klińcu, % (m/m), nie mniej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podziarna w tłuczniu lub klińcu, % (m/m), nie więcej niż:</w:t>
            </w:r>
          </w:p>
          <w:p w:rsidR="005E3E68" w:rsidRDefault="005E3E68" w:rsidP="005E3E68">
            <w:pPr>
              <w:numPr>
                <w:ilvl w:val="0"/>
                <w:numId w:val="10"/>
              </w:numPr>
              <w:overflowPunct w:val="0"/>
              <w:autoSpaceDE w:val="0"/>
              <w:autoSpaceDN w:val="0"/>
              <w:adjustRightInd w:val="0"/>
              <w:spacing w:before="0" w:after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 w tłuczniu lub klińcu,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 w tłuczniu lub klińcu,  % (m/m), nie więcej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Zawartość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ziarn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nieforemnych, % (m/m), nie więcej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tłuczniu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klińcu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bada się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 w tłuczniu lub klińcu, barwa cieczy nie ciemniejsza niż:</w:t>
            </w:r>
          </w:p>
        </w:tc>
        <w:tc>
          <w:tcPr>
            <w:tcW w:w="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</w:tbl>
    <w:p w:rsidR="005E3E68" w:rsidRDefault="005E3E68" w:rsidP="005E3E68"/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 xml:space="preserve">Tablica 2. Wymagania dla miału i mieszanki drobnej granulowanej 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677"/>
        <w:gridCol w:w="1167"/>
        <w:gridCol w:w="1170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Wymagania dla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4677" w:type="dxa"/>
            <w:tcBorders>
              <w:left w:val="nil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Właściwości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miału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mieszanki drobnej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granulowanej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46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obcych, nie więcej niż: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1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0,1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 piaskowy, nie mniejszy niż: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wyjątkiem wapieni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dla kruszywa z wapieni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zanieczyszczeń organicznych, barwa cieczy nie ciemniejsza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wzorcowa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nadziarna, % (m/m), nie więcej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Zawartość frakcji od 2,0 mm do 4,0 mm, (m/m), nie mniej niż: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 się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Woda użyta przy wykonywaniu zagęszczenia i zamulania nawierzchni może być studzienna lub z wodociągów, bez specjalnych wymagań.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 SPRZĘT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3.1. Ogólne wymagania dotyczące sprzętu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sprzętu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3.2. Sprzęt do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Wykonawca przystępujący do wykonania robót powinien wykazać się możliwością korzystania z następującego sprzętu: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układarek lub równiarek do rozścielania tłucznia,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 xml:space="preserve">walców statycznych, zwykle o nacisku jednostkowym co najmniej 30 </w:t>
      </w:r>
      <w:proofErr w:type="spellStart"/>
      <w:r>
        <w:t>kN</w:t>
      </w:r>
      <w:proofErr w:type="spellEnd"/>
      <w:r>
        <w:t xml:space="preserve">/m, ew. walców wibracyjnych o nacisku jednostkowym wału wibrującego co najmniej 18 </w:t>
      </w:r>
      <w:proofErr w:type="spellStart"/>
      <w:r>
        <w:t>kN</w:t>
      </w:r>
      <w:proofErr w:type="spellEnd"/>
      <w:r>
        <w:t xml:space="preserve">/m lub płytowych zagęszczarek wibracyjnych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, 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przewoźnych zbiorników do wody (beczkowozów) zaopatrzonych w urządzenia do rozpryskiwania wody oraz pomp do napełniania beczkowozów wodą.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 TRANSPORT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4.1. Ogólne wymagania dotyczące transportu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wymagania dotyczące transportu podano w ST DM.00.00.00 „Wymagania ogólne".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bookmarkStart w:id="2" w:name="_Toc407086055"/>
      <w:bookmarkStart w:id="3" w:name="_Toc407085607"/>
      <w:bookmarkStart w:id="4" w:name="_Toc407085464"/>
      <w:bookmarkStart w:id="5" w:name="_Toc407085321"/>
      <w:bookmarkStart w:id="6" w:name="_Toc407084202"/>
      <w:bookmarkStart w:id="7" w:name="_Toc407083368"/>
      <w:bookmarkStart w:id="8" w:name="_Toc407081712"/>
      <w:bookmarkStart w:id="9" w:name="_Toc407081569"/>
      <w:bookmarkStart w:id="10" w:name="_Toc407069604"/>
      <w:bookmarkStart w:id="11" w:name="_Toc406984396"/>
      <w:bookmarkStart w:id="12" w:name="_Toc406984205"/>
      <w:bookmarkStart w:id="13" w:name="_Toc406984058"/>
      <w:bookmarkStart w:id="14" w:name="_Toc406915365"/>
      <w:bookmarkStart w:id="15" w:name="_Toc406914890"/>
      <w:bookmarkStart w:id="16" w:name="_Toc406914787"/>
      <w:bookmarkStart w:id="17" w:name="_Toc406914133"/>
      <w:bookmarkStart w:id="18" w:name="_Toc406913888"/>
      <w:r>
        <w:rPr>
          <w:b/>
          <w:bCs/>
        </w:rPr>
        <w:t>4.2. Transport materiałów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można przewozić dowolnymi środkami transportu w warunkach zabezpieczających je przed zanieczyszczeniem, zmieszaniem z innymi materiałami, nadmiernym wysuszeniem i zawilgoceniem.</w:t>
      </w:r>
    </w:p>
    <w:p w:rsidR="005E3E68" w:rsidRDefault="005E3E68" w:rsidP="005E3E68">
      <w:pPr>
        <w:pStyle w:val="Styl1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 WYKONANIE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5.1. Ogólne zasady wykonania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wykonania robót podano w ST D</w:t>
      </w:r>
      <w:r>
        <w:t>.00.00.00 „Wymagania ogólne".</w:t>
      </w:r>
    </w:p>
    <w:p w:rsidR="005E3E68" w:rsidRDefault="005E3E68" w:rsidP="005E3E68">
      <w:pPr>
        <w:pStyle w:val="Styl1"/>
        <w:rPr>
          <w:b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5.2. Przygotowanie podłoża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lastRenderedPageBreak/>
        <w:t>Podłoże powinno być wyprofilowane, równe i czyste. Wszelkie wady podłoża należy usunąć w sposób uzgodniony z Inżynierem.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5.3. Odcinek próbny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 przewiduje się odcinka próbnego.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5.4. Wbudowywanie i zagęszczanie kruszywa</w:t>
      </w:r>
    </w:p>
    <w:p w:rsidR="005E3E68" w:rsidRDefault="005E3E68" w:rsidP="005E3E68">
      <w:pPr>
        <w:pStyle w:val="Styl1"/>
      </w:pPr>
    </w:p>
    <w:p w:rsidR="005E3E68" w:rsidRDefault="007260D2" w:rsidP="005E3E68">
      <w:pPr>
        <w:pStyle w:val="Styl1"/>
      </w:pPr>
      <w:r>
        <w:t>Nawierzchnię o grubości 20</w:t>
      </w:r>
      <w:r w:rsidR="005E3E68">
        <w:t xml:space="preserve"> cm należy wykonywać w jednej warstwie.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Kruszywo grube powinno być rozkładane w warstwie o jednakowej grubości, przy użyciu układarki albo równiarki. Grubość rozłożonej warstwy luźnego kruszywa powinna być taka, aby po jej zagęszczeniu i zaklinowaniu osiągnięto grubość projektowaną.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Kruszywo grube po rozłożeniu powinno być zagęszczane przejściami walca statycznego gładkiego, o nacisku jednostkowym nie mniejszym niż 30 </w:t>
      </w:r>
      <w:proofErr w:type="spellStart"/>
      <w:r>
        <w:t>kN</w:t>
      </w:r>
      <w:proofErr w:type="spellEnd"/>
      <w:r>
        <w:t xml:space="preserve">/m. Zagęszczenie nawierzchni o przekroju daszkowym powinno rozpocząć się od krawędzi i stopniowo przesuwać pasami podłużnymi, częściowo nakładającymi się, w kierunku jej osi. Zagęszczanie nawierzchni o jednostronnym spadku poprzecznym powinno rozpocząć się od dolnej krawędzi i przesuwać pasami podłużnymi, częściowo nakładającymi się, w kierunku jej górnej krawędzi. </w:t>
      </w:r>
    </w:p>
    <w:p w:rsidR="005E3E68" w:rsidRDefault="005E3E68" w:rsidP="005E3E68">
      <w:pPr>
        <w:pStyle w:val="Styl1"/>
      </w:pPr>
      <w:r>
        <w:t>Zagęszczanie można zakończyć, gdy przed kołami walca przestają się tworzyć fale, a ziarno tłucznia o wymiarze około 40 mm pod naciskiem koła walca nie wtłacza się w nawierzchnię, lecz miażdży się na niej.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 zagęszczeniu warstwy kruszywa grubego należy zaklinować ją poprzez stopniowe rozsypywanie klińca od 4 do 20 mm i mieszanki drobnej granulowanej od 0,075 do 4 mm oraz miału, przy ciągłym zagęszczaniu walcem statycznym gładkim.</w:t>
      </w:r>
    </w:p>
    <w:p w:rsidR="005E3E68" w:rsidRDefault="005E3E68" w:rsidP="005E3E68">
      <w:pPr>
        <w:pStyle w:val="Styl1"/>
      </w:pPr>
      <w:r>
        <w:t>Warstwę należy klinować tak długo, dopóki wszystkie przestrzenie nie zostaną wypełnione klińcem.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zagęszczania walcem gładkim zaleca się skrapiać kruszywo wodą tak często, aby było stale wilgotne, co powoduje, że kruszywo mniej się kruszy, mniej wyokrągla i łatwiej układa szczelnie pod walcem.</w:t>
      </w:r>
    </w:p>
    <w:p w:rsidR="005E3E68" w:rsidRDefault="005E3E68" w:rsidP="005E3E68">
      <w:pPr>
        <w:pStyle w:val="Styl1"/>
      </w:pPr>
      <w:r>
        <w:t>Zagęszczenie można uważać za zakończone, jeśli nie pojawiają się ślady po walcach i wybrzuszenia warstwy kruszywa przed wałami.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przypadku zagęszczania kruszywa sprzętem wibracyjnym (walcami wibracyjnymi o nacisku jednostkowym wału wibrującego co najmniej 18 </w:t>
      </w:r>
      <w:proofErr w:type="spellStart"/>
      <w:r>
        <w:t>kN</w:t>
      </w:r>
      <w:proofErr w:type="spellEnd"/>
      <w:r>
        <w:t xml:space="preserve">/m lub płytowymi zagęszczarkami wibracyjnymi o nacisku jednostkowym co najmniej 16 </w:t>
      </w:r>
      <w:proofErr w:type="spellStart"/>
      <w:r>
        <w:t>kN</w:t>
      </w:r>
      <w:proofErr w:type="spellEnd"/>
      <w:r>
        <w:t>/m</w:t>
      </w:r>
      <w:r>
        <w:rPr>
          <w:vertAlign w:val="superscript"/>
        </w:rPr>
        <w:t>2</w:t>
      </w:r>
      <w:r>
        <w:t xml:space="preserve">), zagęszczenie należy przeprowadzać według zasad podanych dla walców gładkich, lecz bez skrapiania kruszywa wodą. 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W pierwszych dniach po wykonaniu nawierzchni należy dbać, aby była ona stale wilgotna. 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 KONTROLA JAKOŚCI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6.1. Ogólne zasady kontroli jakości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zasady kontrol</w:t>
      </w:r>
      <w:r w:rsidR="00A43A0F">
        <w:t>i jakości robót podano w ST D.</w:t>
      </w:r>
      <w:r>
        <w:t>00.00.00 „Wymagania ogólne” pkt 6.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6.2. Badania przed przystąpieniem do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Przed przystąpieniem do robót Wykonawca powinien wykonać badania kruszyw  przeznaczonych do wykonania robót i przedstawić wyniki tych badań Inżynierowi w celu akceptacji materiałów. Badania te powinny obejmować wszystkie właściwości określone w pkt 2.3 niniejszej ST.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6.3. Badania w czasie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W czasie robót przy budowie nawierzchni tłuczniowej należy kontrolować z częstotliwością podaną poniżej, następujące właściwości: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uziarnienie kruszywa, zawartość zanieczyszczeń obcych w kruszywie i zawartość </w:t>
      </w:r>
      <w:proofErr w:type="spellStart"/>
      <w:r>
        <w:rPr>
          <w:rFonts w:ascii="Arial" w:hAnsi="Arial" w:cs="Arial"/>
        </w:rPr>
        <w:t>ziarn</w:t>
      </w:r>
      <w:proofErr w:type="spellEnd"/>
      <w:r>
        <w:rPr>
          <w:rFonts w:ascii="Arial" w:hAnsi="Arial" w:cs="Arial"/>
        </w:rPr>
        <w:t xml:space="preserve"> nieforemnych w kruszywie - co najmniej 1 raz na dziennej działce roboczej z tym, że maksymalna powierzchnia nawierzchni przypadająca na jedno badanie powinna wynosić 600 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>,</w:t>
      </w:r>
    </w:p>
    <w:p w:rsidR="005E3E68" w:rsidRDefault="005E3E68" w:rsidP="005E3E68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ścieralność kruszywa, nasiąkliwość kruszywa, odporność kruszywa na działanie mrozu - przy każdej zmianie źródła pobierania materiałów.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Próbki należy pobierać w sposób losowy z rozłożonej warstwy, przed jej zagęszczeniem. Wyniki badań powinny być na bieżąco przekazywane Inżynierowi.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Badania pełne kruszywa, obejmujące ocenę wszystkich właściwości określonych w p. 2.3 powinny być wykonane przez Wykonawcę z częstotliwością gwarantującą zachowanie jakości robót i zawsze w przypadku zmiany źródła pobierania materiałów oraz na polecenie Inżyniera. Próbki do badań pełnych powinny być pobierane przez Wykonawcę w sposób losowy w obecności Inżyniera.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 Badania i pomiary cech geometrycznych nawierzchni tłuczniowej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6.4.1. Częstotliwość oraz zakres badań i pomiarów</w:t>
      </w:r>
    </w:p>
    <w:p w:rsidR="005E3E68" w:rsidRDefault="005E3E68" w:rsidP="005E3E68">
      <w:pPr>
        <w:pStyle w:val="Styl1"/>
      </w:pPr>
      <w:r>
        <w:t>Częstotliwość oraz zakres badań i pomiarów dotyczących cech geometrycznych nawierzchni podano w tablicy 3.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3. Częstotliwość oraz zakres badań i pomiarów wykonanej nawierzchni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76"/>
        <w:gridCol w:w="4039"/>
      </w:tblGrid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spacing w:before="18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Wyszczególnienie badań                        i pomiarów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częstotliwość</w:t>
            </w:r>
          </w:p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badań i pomiarów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Szerokość nawierzchni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podłużna</w:t>
            </w:r>
          </w:p>
        </w:tc>
        <w:tc>
          <w:tcPr>
            <w:tcW w:w="40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20 m na każdym pasie ruchu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Równość poprzeczna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Spadki poprzeczne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razy na 1 km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Rzędne wysokościowe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 i w charakterystycznych punktach niwelety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Ukształtowanie osi w planie 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 100 m</w:t>
            </w:r>
          </w:p>
        </w:tc>
      </w:tr>
      <w:tr w:rsidR="005E3E68" w:rsidTr="00EB5B38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nawierzchni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Podczas budowy: w trzech punktach na każdej działce roboczej, lecz nie rzadziej niż raz na      400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:rsidR="005E3E68" w:rsidRDefault="005E3E68" w:rsidP="00EB5B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odbiorem: w trzech punktach, lecz nie rzadziej niż raz na 2000 m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 uwagi na podrzędny charakter robót (drogi do pól, użytków rolnych i lasów) dopuszcza się za zgodą Inżyniera zmniejszenie częstotliwości badań i pomiarów.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6.4.2. Szerokość nawierzchni</w:t>
      </w:r>
    </w:p>
    <w:p w:rsidR="005E3E68" w:rsidRDefault="005E3E68" w:rsidP="005E3E68">
      <w:pPr>
        <w:pStyle w:val="Styl1"/>
      </w:pPr>
      <w:r>
        <w:t>Szerokość nawierzchni nie może różnić się od szerokości projektowanej o więcej niż +10 cm i -5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6.4.3. Równość nawierzchni</w:t>
      </w:r>
    </w:p>
    <w:p w:rsidR="005E3E68" w:rsidRDefault="005E3E68" w:rsidP="005E3E68">
      <w:pPr>
        <w:pStyle w:val="Styl1"/>
      </w:pPr>
      <w:r>
        <w:t>Nierówności podłużne i poprzeczne nawierzchni należy mierzyć 4-metrową łatą.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Nierówności nawierzchni tłuczniowej nie powinny przekraczać 15 mm,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6.4.4. Spadki poprzeczne nawierzchni</w:t>
      </w:r>
    </w:p>
    <w:p w:rsidR="005E3E68" w:rsidRDefault="005E3E68" w:rsidP="005E3E68">
      <w:pPr>
        <w:pStyle w:val="Styl1"/>
      </w:pPr>
      <w:r>
        <w:t xml:space="preserve">Spadki poprzeczne nawierzchni na prostych i łukach powinny być zgodne z dokumentacją projektową, z tolerancją </w:t>
      </w:r>
      <w:r>
        <w:sym w:font="Symbol" w:char="F0B1"/>
      </w:r>
      <w:r>
        <w:t xml:space="preserve"> 0,5%.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6.4.5. Rzędne wysokościowe</w:t>
      </w:r>
    </w:p>
    <w:p w:rsidR="005E3E68" w:rsidRDefault="005E3E68" w:rsidP="005E3E68">
      <w:pPr>
        <w:pStyle w:val="Styl1"/>
      </w:pPr>
      <w:r>
        <w:t>Różnice pomiędzy rzędnymi wysokościowymi nawierzchni i rzędnymi projektowanymi nie powinny przekraczać +1 cm i -2 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6.4.6. Ukształtowanie osi nawierzchni</w:t>
      </w:r>
    </w:p>
    <w:p w:rsidR="005E3E68" w:rsidRDefault="005E3E68" w:rsidP="005E3E68">
      <w:pPr>
        <w:pStyle w:val="Styl1"/>
      </w:pPr>
      <w:r>
        <w:lastRenderedPageBreak/>
        <w:t xml:space="preserve">Oś nawierzchni w planie nie może być przesunięta w stosunku do osi projektowanej o więcej niż </w:t>
      </w:r>
      <w:r>
        <w:sym w:font="Symbol" w:char="F0B1"/>
      </w:r>
      <w:r>
        <w:t>5 cm.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6.4.7. Grubość warstwy</w:t>
      </w:r>
    </w:p>
    <w:p w:rsidR="005E3E68" w:rsidRDefault="005E3E68" w:rsidP="005E3E68">
      <w:pPr>
        <w:pStyle w:val="Styl1"/>
      </w:pPr>
      <w:r>
        <w:t>Grubość warstwy Wykonawca powinien mierzyć natychmiast po jej zagęszczeniu, co najmniej w dwóch losowo wybranych punktach na każdej dziennej działce roboczej i nie rzadziej niż w jednym punkcie na 400 m</w:t>
      </w:r>
      <w:r>
        <w:rPr>
          <w:vertAlign w:val="superscript"/>
        </w:rPr>
        <w:t>2</w:t>
      </w:r>
      <w:r>
        <w:t xml:space="preserve"> nawierzchni.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 xml:space="preserve">Dopuszczalne odchyłki od projektowanej grubości nawierzchni nie powinny przekraczać </w:t>
      </w:r>
      <w:r>
        <w:sym w:font="Symbol" w:char="F0B1"/>
      </w:r>
      <w:r>
        <w:t xml:space="preserve"> 10%.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6.5. Pomiar nośności nawierzchni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Pomiary nośności nawierzchni tłuczniowej należy wykonać płytą o średnicy 30 cm wg Instrukcji Badań Podłoża Gruntowego Budowli Drogowych i Mostowych część 2 Załącznik. GDDP 1998. Pomiar należy wykonać nie rzadziej niż raz na 3000 m</w:t>
      </w:r>
      <w:r>
        <w:rPr>
          <w:vertAlign w:val="superscript"/>
        </w:rPr>
        <w:t>2</w:t>
      </w:r>
      <w:r>
        <w:t>, lub według zaleceń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Nawierzchnia tłuczniowa powinna spełniać wymagania dotyczące nośności podane w tablicy 4.</w:t>
      </w: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</w:p>
    <w:p w:rsidR="005E3E68" w:rsidRDefault="005E3E68" w:rsidP="005E3E68">
      <w:pPr>
        <w:pStyle w:val="Styl1"/>
        <w:ind w:left="993" w:hanging="993"/>
        <w:jc w:val="left"/>
        <w:rPr>
          <w:rFonts w:cs="Arial"/>
          <w:b/>
          <w:bCs/>
        </w:rPr>
      </w:pPr>
      <w:r>
        <w:rPr>
          <w:rFonts w:cs="Arial"/>
          <w:b/>
          <w:bCs/>
        </w:rPr>
        <w:t>Tablica 4. Wymagana nośność nawierzchni tłuczniowej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2019"/>
        <w:gridCol w:w="2019"/>
      </w:tblGrid>
      <w:tr w:rsidR="005E3E68" w:rsidTr="00EB5B38">
        <w:trPr>
          <w:jc w:val="center"/>
        </w:trPr>
        <w:tc>
          <w:tcPr>
            <w:tcW w:w="3472" w:type="dxa"/>
            <w:tcBorders>
              <w:top w:val="single" w:sz="6" w:space="0" w:color="auto"/>
              <w:lef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</w:p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Rodzaj ruchu</w:t>
            </w:r>
          </w:p>
        </w:tc>
        <w:tc>
          <w:tcPr>
            <w:tcW w:w="40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Minimalny moduł odkształcenia mierzony przy użyciu płyty o średnicy 30 cm,    </w:t>
            </w:r>
            <w:proofErr w:type="spellStart"/>
            <w:r>
              <w:rPr>
                <w:rFonts w:ascii="Arial" w:hAnsi="Arial" w:cs="Arial"/>
              </w:rPr>
              <w:t>MPa</w:t>
            </w:r>
            <w:proofErr w:type="spellEnd"/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lef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pierwotny</w:t>
            </w:r>
          </w:p>
        </w:tc>
        <w:tc>
          <w:tcPr>
            <w:tcW w:w="2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wtórny</w:t>
            </w:r>
          </w:p>
        </w:tc>
      </w:tr>
      <w:tr w:rsidR="005E3E68" w:rsidTr="00EB5B38">
        <w:trPr>
          <w:jc w:val="center"/>
        </w:trPr>
        <w:tc>
          <w:tcPr>
            <w:tcW w:w="347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Ruch bardzo lekki i lekki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</w:t>
            </w:r>
          </w:p>
        </w:tc>
        <w:tc>
          <w:tcPr>
            <w:tcW w:w="2019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E68" w:rsidRDefault="005E3E68" w:rsidP="00EB5B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</w:t>
            </w:r>
          </w:p>
        </w:tc>
      </w:tr>
    </w:tbl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Zagęszczenie nawierzchni tłuczniowej należy uznać za prawidłowe wtedy, gdy stosunek wtórnego modułu odkształcenia do pierwotnego modułu odkształcenia, mierzonych przy użyciu płyty o średnicy 30 cm, jest nie większy od 2,2  ( E</w:t>
      </w:r>
      <w:r>
        <w:rPr>
          <w:vertAlign w:val="subscript"/>
        </w:rPr>
        <w:t>2</w:t>
      </w:r>
      <w:r>
        <w:t xml:space="preserve"> : E</w:t>
      </w:r>
      <w:r>
        <w:rPr>
          <w:vertAlign w:val="subscript"/>
        </w:rPr>
        <w:t>1</w:t>
      </w:r>
      <w:r>
        <w:t xml:space="preserve"> </w:t>
      </w:r>
      <w:r>
        <w:rPr>
          <w:u w:val="single"/>
        </w:rPr>
        <w:t>&lt;</w:t>
      </w:r>
      <w:r>
        <w:t xml:space="preserve"> 2,2 )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 Zasady postępowania z wadliwie wykonanymi odcinkami nawierzchni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6.6.1. Niewłaściwe uziarnienie i właściwości kruszywa</w:t>
      </w:r>
    </w:p>
    <w:p w:rsidR="005E3E68" w:rsidRDefault="005E3E68" w:rsidP="005E3E68">
      <w:pPr>
        <w:pStyle w:val="Styl1"/>
      </w:pPr>
      <w:r>
        <w:t>Wszystkie kruszywa nie spełniające wymagań podanych w odpowiednich punktach specyfikacji zostaną odrzucone. Jeżeli kruszywa, nie spełniające wymagań zostaną wbudowane, to na polecenie Inżyniera, Wykonawca wymieni je na właściwe, na własny koszt.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6.6.2. Niewłaściwe cechy geometryczne nawierzchni</w:t>
      </w:r>
    </w:p>
    <w:p w:rsidR="005E3E68" w:rsidRDefault="005E3E68" w:rsidP="005E3E68">
      <w:pPr>
        <w:pStyle w:val="Styl1"/>
      </w:pPr>
      <w:r>
        <w:t>Wszystkie powierzchnie nawierzchni, które wykazują większe odchylenia cech geometrycznych od określonych w punkcie 6.3.2 powinny być naprawione przez spulchnienie lub zerwanie na całą grubość warstwy, wyrównane i powtórnie zagęszczone. Dodanie nowego materiału bez spulchnienia wykonanej warstwy jest niedopuszczalne.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te Wykonawca wykona na własny koszt. Po ich wykonaniu nastąpi ponowny pomiar i ocena.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6.6.3. Niewłaściwa nośność nawierzchni</w:t>
      </w:r>
    </w:p>
    <w:p w:rsidR="005E3E68" w:rsidRDefault="005E3E68" w:rsidP="005E3E68">
      <w:pPr>
        <w:pStyle w:val="Styl1"/>
      </w:pPr>
      <w:r>
        <w:t>Jeżeli nośność nawierzchni będzie mniejsza od wymaganej, to Wykonawca wykona wszelkie roboty niezbędne do zapewnienia wymaganej nośności, zalecone przez Inżyniera.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Koszty tych dodatkowych robót poniesie Wykonawca tylko wtedy, gdy zaniżenie nośności nawierzchni wynikło z niewłaściwego wykonania przez Wykonawcę robót.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 OBMIAR ROBÓT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7.1. Ogólne zasady obmiaru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obmiaru robót podano w ST D.</w:t>
      </w:r>
      <w:r>
        <w:t>00.00.00 „Wymagania ogólne” pkt 7.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7.2. Jednostka obmiarowa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Jednostką obmiarową jest m</w:t>
      </w:r>
      <w:r>
        <w:rPr>
          <w:vertAlign w:val="superscript"/>
        </w:rPr>
        <w:t>2</w:t>
      </w:r>
      <w:r>
        <w:t xml:space="preserve"> (metr kwadratowy) wykonanej i odebranej nawierzchni tłuczniowej.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8. ODBIÓR ROBÓT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zasad</w:t>
      </w:r>
      <w:r w:rsidR="00A43A0F">
        <w:t>y odbioru robót podano w ST D.</w:t>
      </w:r>
      <w:r>
        <w:t>00.00.00 „Wymagania ogólne” pkt 8.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Roboty uznaje się za zgodne z Dokumentacją Projektową, ST i wymaganiami Inżyniera, jeżeli wszystkie pomiary i badania z zachowaniem tolerancji wg pkt 6 dały wyniki pozytywne.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 PODSTAWA PŁATNOŚCI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9.1. Ogólne ustalenia dotyczące podstawy płatności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Ogólne ustalenia dotyczące pod</w:t>
      </w:r>
      <w:r w:rsidR="00A43A0F">
        <w:t>stawy płatności podano w ST D.</w:t>
      </w:r>
      <w:r>
        <w:t>00.00.00 „Wymagania ogólne” pkt 9.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9.2. Cena jednostki obmiarowej</w:t>
      </w:r>
    </w:p>
    <w:p w:rsidR="005E3E68" w:rsidRDefault="005E3E68" w:rsidP="005E3E68">
      <w:pPr>
        <w:pStyle w:val="Styl1"/>
      </w:pPr>
    </w:p>
    <w:p w:rsidR="005E3E68" w:rsidRDefault="005E3E68" w:rsidP="005E3E68">
      <w:pPr>
        <w:pStyle w:val="Styl1"/>
      </w:pPr>
      <w:r>
        <w:t>Cena wykonania 1 m</w:t>
      </w:r>
      <w:r>
        <w:rPr>
          <w:vertAlign w:val="superscript"/>
        </w:rPr>
        <w:t>2</w:t>
      </w:r>
      <w:r>
        <w:t xml:space="preserve"> nawierzchni tłuczniowej obejmuje: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prace pomiarowe i roboty przygotowawcze,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oznakowanie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koszt zapewnienia niezbędnych czynników produkcji,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zakup, dostarczenie i składowanie potrzebnych materiałów,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oczyszczenie podłoża,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rozłożenie warstwy kruszywa grubego (tłucznia, klińca),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zaklinowanie warstwy kruszywa grubego, skropienie wodą i zagęszczenie,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przeprowadzenie pomiarów i badań laboratoryjnych, wymaganych w ST,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nawierzchni w czasie robót,</w:t>
      </w:r>
    </w:p>
    <w:p w:rsidR="005E3E68" w:rsidRDefault="005E3E68" w:rsidP="005E3E68">
      <w:pPr>
        <w:pStyle w:val="Styl1"/>
        <w:numPr>
          <w:ilvl w:val="0"/>
          <w:numId w:val="1"/>
        </w:numPr>
      </w:pPr>
      <w:r>
        <w:t>utrzymanie czystości na przylegających drogach.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 PRZEPISY ZWIĄZANE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10.1. Normy</w:t>
      </w:r>
    </w:p>
    <w:p w:rsidR="005E3E68" w:rsidRDefault="005E3E68" w:rsidP="005E3E68">
      <w:pPr>
        <w:pStyle w:val="Styl1"/>
        <w:rPr>
          <w:b/>
          <w:bCs/>
        </w:rPr>
      </w:pPr>
    </w:p>
    <w:p w:rsidR="00A43A0F" w:rsidRPr="00A43A0F" w:rsidRDefault="00A43A0F" w:rsidP="00A43A0F">
      <w:pPr>
        <w:pStyle w:val="Styl1"/>
      </w:pPr>
      <w:r>
        <w:t xml:space="preserve">1. PN-B-04481 </w:t>
      </w:r>
      <w:r w:rsidRPr="00A43A0F">
        <w:t xml:space="preserve">Grunty budowlane. Badania próbek gruntu </w:t>
      </w:r>
    </w:p>
    <w:p w:rsidR="00A43A0F" w:rsidRPr="00A43A0F" w:rsidRDefault="00A43A0F" w:rsidP="00A43A0F">
      <w:pPr>
        <w:pStyle w:val="Styl1"/>
      </w:pPr>
      <w:r>
        <w:t xml:space="preserve">2. PN-B-06714-12 </w:t>
      </w:r>
      <w:r w:rsidRPr="00A43A0F">
        <w:t>Kruszywa  mi</w:t>
      </w:r>
      <w:r>
        <w:t xml:space="preserve">neralne. Badania. Oznaczanie </w:t>
      </w:r>
      <w:r w:rsidRPr="00A43A0F">
        <w:t xml:space="preserve">zawartości zanieczyszczeń obcych </w:t>
      </w:r>
    </w:p>
    <w:p w:rsidR="00A43A0F" w:rsidRPr="00A43A0F" w:rsidRDefault="00A43A0F" w:rsidP="00A43A0F">
      <w:pPr>
        <w:pStyle w:val="Styl1"/>
      </w:pPr>
      <w:r>
        <w:t xml:space="preserve">3. PN-B-06714-15 </w:t>
      </w:r>
      <w:r w:rsidRPr="00A43A0F">
        <w:t>Kruszywa  mineralne.</w:t>
      </w:r>
      <w:r>
        <w:t xml:space="preserve"> Badania. Oznaczanie  składu </w:t>
      </w:r>
      <w:r w:rsidRPr="00A43A0F">
        <w:t>ziarnowego</w:t>
      </w:r>
    </w:p>
    <w:p w:rsidR="00A43A0F" w:rsidRDefault="00A43A0F" w:rsidP="00A43A0F">
      <w:pPr>
        <w:pStyle w:val="Styl1"/>
      </w:pPr>
      <w:r>
        <w:t xml:space="preserve">4. PN-B-06714-16 Kruszywa mineralne. Badania. Oznaczanie kształtu </w:t>
      </w:r>
      <w:proofErr w:type="spellStart"/>
      <w:r>
        <w:t>ziarn</w:t>
      </w:r>
      <w:proofErr w:type="spellEnd"/>
      <w:r>
        <w:t xml:space="preserve"> </w:t>
      </w:r>
    </w:p>
    <w:p w:rsidR="00A43A0F" w:rsidRDefault="00A43A0F" w:rsidP="00A43A0F">
      <w:pPr>
        <w:pStyle w:val="Styl1"/>
      </w:pPr>
      <w:r>
        <w:t xml:space="preserve">5. PN-B-06714-17 Kruszywa  mineralne. Badania. Oznaczanie wilgotności </w:t>
      </w:r>
    </w:p>
    <w:p w:rsidR="00A43A0F" w:rsidRDefault="00A43A0F" w:rsidP="00A43A0F">
      <w:pPr>
        <w:pStyle w:val="Styl1"/>
      </w:pPr>
      <w:r>
        <w:t xml:space="preserve">6. PN-B-06714-18 Kruszywa  mineralne. Badania. Oznaczanie nasiąkliwości </w:t>
      </w:r>
    </w:p>
    <w:p w:rsidR="00A43A0F" w:rsidRDefault="00A43A0F" w:rsidP="00A43A0F">
      <w:pPr>
        <w:pStyle w:val="Styl1"/>
      </w:pPr>
      <w:r>
        <w:t xml:space="preserve">7.  PN-B-06714-19 Kruszywa  mineralne. Badania. Oznaczanie mrozoodporności metodą bezpośrednią </w:t>
      </w:r>
    </w:p>
    <w:p w:rsidR="00A43A0F" w:rsidRDefault="00A43A0F" w:rsidP="00A43A0F">
      <w:pPr>
        <w:pStyle w:val="Styl1"/>
      </w:pPr>
      <w:r>
        <w:t xml:space="preserve">8. PN-B-06714-26 Kruszywa mineralne. Badania. Oznaczanie zawartości zanieczyszczeń organicznych </w:t>
      </w:r>
    </w:p>
    <w:p w:rsidR="00A43A0F" w:rsidRDefault="00A43A0F" w:rsidP="00A43A0F">
      <w:pPr>
        <w:pStyle w:val="Styl1"/>
      </w:pPr>
      <w:r>
        <w:t xml:space="preserve">9. PN-B-06714-28 Kruszywa  mineralne. Badania. Oznaczanie zawartości siarki metodą bromową </w:t>
      </w:r>
    </w:p>
    <w:p w:rsidR="00A43A0F" w:rsidRDefault="00A43A0F" w:rsidP="00A43A0F">
      <w:pPr>
        <w:pStyle w:val="Styl1"/>
      </w:pPr>
      <w:r>
        <w:t xml:space="preserve">10. PN-B-06714-37 Kruszywa mineralne. Badania. Oznaczanie rozpadu krzemianowego </w:t>
      </w:r>
    </w:p>
    <w:p w:rsidR="00A43A0F" w:rsidRDefault="00A43A0F" w:rsidP="00A43A0F">
      <w:pPr>
        <w:pStyle w:val="Styl1"/>
      </w:pPr>
      <w:r>
        <w:t xml:space="preserve">11. PN-B-06714-39 Kruszywa mineralne. Badania. Oznaczanie rozpadu żelazawego </w:t>
      </w:r>
    </w:p>
    <w:p w:rsidR="00A43A0F" w:rsidRDefault="00A43A0F" w:rsidP="00A43A0F">
      <w:pPr>
        <w:pStyle w:val="Styl1"/>
      </w:pPr>
      <w:r>
        <w:t xml:space="preserve">12. PN-B-06714-42 Kruszywa mineralne. Badania. Oznaczanie ścieralności w bębnie Los Angeles </w:t>
      </w:r>
    </w:p>
    <w:p w:rsidR="00A43A0F" w:rsidRDefault="00A43A0F" w:rsidP="00A43A0F">
      <w:pPr>
        <w:pStyle w:val="Styl1"/>
      </w:pPr>
      <w:r>
        <w:t xml:space="preserve">15. PN-B-11112 Kruszywa mineralne. Kruszywa  łamane  do nawierzchni drogowych </w:t>
      </w:r>
    </w:p>
    <w:p w:rsidR="00A43A0F" w:rsidRDefault="00A43A0F" w:rsidP="00A43A0F">
      <w:pPr>
        <w:pStyle w:val="Styl1"/>
      </w:pPr>
      <w:r>
        <w:t xml:space="preserve">21. PN-S-06102 Drogi samochodowe. Podbudowy  z  kruszyw stabilizowanych mechanicznie </w:t>
      </w:r>
    </w:p>
    <w:p w:rsidR="00A43A0F" w:rsidRDefault="00A43A0F" w:rsidP="00A43A0F">
      <w:pPr>
        <w:pStyle w:val="Styl1"/>
      </w:pPr>
      <w:r>
        <w:t xml:space="preserve">26. BN-64/8931-01 Drogi  samochodowe. Oznaczanie  wskaźnika piaskowego </w:t>
      </w:r>
    </w:p>
    <w:p w:rsidR="00A43A0F" w:rsidRDefault="00A43A0F" w:rsidP="00A43A0F">
      <w:pPr>
        <w:pStyle w:val="Styl1"/>
      </w:pPr>
      <w:r>
        <w:t xml:space="preserve">27. BN-64/8931-02 Drogi  samochodowe. Oznaczanie  modułu odkształcenia  nawierzchni  podatnych i  podłoża przez obciążenie płytą </w:t>
      </w:r>
    </w:p>
    <w:p w:rsidR="00A43A0F" w:rsidRDefault="00A43A0F" w:rsidP="00A43A0F">
      <w:pPr>
        <w:pStyle w:val="Styl1"/>
      </w:pPr>
      <w:r>
        <w:t xml:space="preserve">28. BN-68/8931-04 Drogi samochodowe. Pomiar równości nawierzchni </w:t>
      </w:r>
      <w:proofErr w:type="spellStart"/>
      <w:r>
        <w:t>planografem</w:t>
      </w:r>
      <w:proofErr w:type="spellEnd"/>
      <w:r>
        <w:t xml:space="preserve"> i łatą </w:t>
      </w:r>
    </w:p>
    <w:p w:rsidR="00A43A0F" w:rsidRDefault="00A43A0F" w:rsidP="00A43A0F">
      <w:pPr>
        <w:pStyle w:val="Styl1"/>
      </w:pPr>
      <w:r>
        <w:t xml:space="preserve">29. BN-70/8931-06 Drogi  samochodowe. Pomiar ugięć podatnych </w:t>
      </w:r>
      <w:proofErr w:type="spellStart"/>
      <w:r>
        <w:t>ugięciomierzem</w:t>
      </w:r>
      <w:proofErr w:type="spellEnd"/>
      <w:r>
        <w:t xml:space="preserve"> belkowym </w:t>
      </w:r>
    </w:p>
    <w:p w:rsidR="00A43A0F" w:rsidRDefault="00A43A0F" w:rsidP="00A43A0F">
      <w:pPr>
        <w:pStyle w:val="Styl1"/>
      </w:pPr>
      <w:r>
        <w:t xml:space="preserve">30. BN-77/8931-12 Oznaczanie wskaźnika zagęszczenia gruntu </w:t>
      </w:r>
    </w:p>
    <w:p w:rsidR="00A43A0F" w:rsidRDefault="00A43A0F" w:rsidP="00A43A0F">
      <w:pPr>
        <w:pStyle w:val="Styl1"/>
      </w:pPr>
      <w:r>
        <w:t xml:space="preserve">31. PN-B-01100 Kruszywa mineralne. Kruszywa skalne. Podział, nazwy i określenia </w:t>
      </w:r>
    </w:p>
    <w:p w:rsidR="00A43A0F" w:rsidRDefault="00A43A0F" w:rsidP="00A43A0F">
      <w:pPr>
        <w:pStyle w:val="Styl1"/>
      </w:pPr>
      <w:r>
        <w:t xml:space="preserve">32.  PN-B-04101 Materiały kamienne. Oznaczenie nasiąkliwości wodą </w:t>
      </w:r>
    </w:p>
    <w:p w:rsidR="00A43A0F" w:rsidRDefault="00A43A0F" w:rsidP="00A43A0F">
      <w:pPr>
        <w:pStyle w:val="Styl1"/>
      </w:pPr>
      <w:r>
        <w:t xml:space="preserve">33. PN-B-04110 Materiały kamienne. Oznaczanie wytrzymałości na ściskanie </w:t>
      </w:r>
    </w:p>
    <w:p w:rsidR="00A43A0F" w:rsidRDefault="00A43A0F" w:rsidP="00A43A0F">
      <w:pPr>
        <w:pStyle w:val="Styl1"/>
      </w:pPr>
      <w:r>
        <w:lastRenderedPageBreak/>
        <w:t xml:space="preserve">34. PN-B-04111 Materiały kamienne. Oznaczanie ścieralności na tarczy </w:t>
      </w:r>
      <w:proofErr w:type="spellStart"/>
      <w:r>
        <w:t>Boehmego</w:t>
      </w:r>
      <w:proofErr w:type="spellEnd"/>
      <w:r>
        <w:t xml:space="preserve"> </w:t>
      </w:r>
    </w:p>
    <w:p w:rsidR="00A43A0F" w:rsidRPr="005E3E68" w:rsidRDefault="00A43A0F" w:rsidP="00A43A0F">
      <w:pPr>
        <w:pStyle w:val="Styl1"/>
      </w:pPr>
      <w:r>
        <w:t>35. PN-B-04115 Materiały kamienne. Oznaczanie wytrzymałości kamienia na uderzenie (zwięzłość)</w:t>
      </w:r>
    </w:p>
    <w:p w:rsidR="005E3E68" w:rsidRDefault="005E3E68" w:rsidP="005E3E68">
      <w:pPr>
        <w:pStyle w:val="Styl1"/>
        <w:rPr>
          <w:b/>
          <w:bCs/>
        </w:rPr>
      </w:pPr>
    </w:p>
    <w:p w:rsidR="005E3E68" w:rsidRDefault="005E3E68" w:rsidP="005E3E68">
      <w:pPr>
        <w:pStyle w:val="Styl1"/>
        <w:rPr>
          <w:b/>
          <w:bCs/>
        </w:rPr>
      </w:pPr>
      <w:r>
        <w:rPr>
          <w:b/>
          <w:bCs/>
        </w:rPr>
        <w:t>10.2. Inne dokumenty</w:t>
      </w:r>
    </w:p>
    <w:p w:rsidR="005E3E68" w:rsidRDefault="005E3E68" w:rsidP="005E3E68">
      <w:pPr>
        <w:pStyle w:val="Styl1"/>
      </w:pPr>
    </w:p>
    <w:p w:rsidR="00542779" w:rsidRPr="005E3E68" w:rsidRDefault="005E3E68" w:rsidP="00A43A0F">
      <w:pPr>
        <w:pStyle w:val="Styl1"/>
      </w:pPr>
      <w:r>
        <w:t>Instrukcja Badań Podłoża Gruntowego Budowli Drogowych i Mostowych część 2. Załącznik. GDDP 1998.</w:t>
      </w:r>
    </w:p>
    <w:sectPr w:rsidR="00542779" w:rsidRPr="005E3E68" w:rsidSect="009D138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1F9" w:rsidRDefault="002D11F9" w:rsidP="00836F80">
      <w:pPr>
        <w:spacing w:before="0" w:after="0"/>
      </w:pPr>
      <w:r>
        <w:separator/>
      </w:r>
    </w:p>
  </w:endnote>
  <w:endnote w:type="continuationSeparator" w:id="0">
    <w:p w:rsidR="002D11F9" w:rsidRDefault="002D11F9" w:rsidP="00836F8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795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1F5035" w:rsidRPr="001F5035" w:rsidRDefault="001F5035">
        <w:pPr>
          <w:pStyle w:val="Stopka"/>
          <w:rPr>
            <w:rFonts w:ascii="Arial" w:hAnsi="Arial" w:cs="Arial"/>
            <w:sz w:val="18"/>
          </w:rPr>
        </w:pPr>
        <w:r w:rsidRPr="001F5035">
          <w:rPr>
            <w:rFonts w:ascii="Arial" w:hAnsi="Arial" w:cs="Arial"/>
            <w:sz w:val="18"/>
          </w:rPr>
          <w:fldChar w:fldCharType="begin"/>
        </w:r>
        <w:r w:rsidRPr="001F5035">
          <w:rPr>
            <w:rFonts w:ascii="Arial" w:hAnsi="Arial" w:cs="Arial"/>
            <w:sz w:val="18"/>
          </w:rPr>
          <w:instrText>PAGE   \* MERGEFORMAT</w:instrText>
        </w:r>
        <w:r w:rsidRPr="001F5035">
          <w:rPr>
            <w:rFonts w:ascii="Arial" w:hAnsi="Arial" w:cs="Arial"/>
            <w:sz w:val="18"/>
          </w:rPr>
          <w:fldChar w:fldCharType="separate"/>
        </w:r>
        <w:r w:rsidR="00247CEE">
          <w:rPr>
            <w:rFonts w:ascii="Arial" w:hAnsi="Arial" w:cs="Arial"/>
            <w:noProof/>
            <w:sz w:val="18"/>
          </w:rPr>
          <w:t>108</w:t>
        </w:r>
        <w:r w:rsidRPr="001F5035">
          <w:rPr>
            <w:rFonts w:ascii="Arial" w:hAnsi="Arial" w:cs="Arial"/>
            <w:sz w:val="18"/>
          </w:rPr>
          <w:fldChar w:fldCharType="end"/>
        </w:r>
      </w:p>
    </w:sdtContent>
  </w:sdt>
  <w:p w:rsidR="001F5035" w:rsidRDefault="001F503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757763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845F1" w:rsidRPr="00247CEE" w:rsidRDefault="00D845F1" w:rsidP="00247CEE">
        <w:pPr>
          <w:pStyle w:val="Stopka"/>
          <w:jc w:val="center"/>
          <w:rPr>
            <w:sz w:val="22"/>
          </w:rPr>
        </w:pPr>
        <w:r w:rsidRPr="00247CEE">
          <w:rPr>
            <w:rFonts w:ascii="Arial" w:hAnsi="Arial" w:cs="Arial"/>
          </w:rPr>
          <w:fldChar w:fldCharType="begin"/>
        </w:r>
        <w:r w:rsidRPr="00247CEE">
          <w:rPr>
            <w:rFonts w:ascii="Arial" w:hAnsi="Arial" w:cs="Arial"/>
          </w:rPr>
          <w:instrText>PAGE   \* MERGEFORMAT</w:instrText>
        </w:r>
        <w:r w:rsidRPr="00247CEE">
          <w:rPr>
            <w:rFonts w:ascii="Arial" w:hAnsi="Arial" w:cs="Arial"/>
          </w:rPr>
          <w:fldChar w:fldCharType="separate"/>
        </w:r>
        <w:r w:rsidR="009D138C">
          <w:rPr>
            <w:rFonts w:ascii="Arial" w:hAnsi="Arial" w:cs="Arial"/>
            <w:noProof/>
          </w:rPr>
          <w:t>82</w:t>
        </w:r>
        <w:r w:rsidRPr="00247CEE">
          <w:rPr>
            <w:rFonts w:ascii="Arial" w:hAnsi="Arial" w:cs="Arial"/>
          </w:rPr>
          <w:fldChar w:fldCharType="end"/>
        </w:r>
      </w:p>
    </w:sdtContent>
  </w:sdt>
  <w:p w:rsidR="00D845F1" w:rsidRDefault="00D845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1F9" w:rsidRDefault="002D11F9" w:rsidP="00836F80">
      <w:pPr>
        <w:spacing w:before="0" w:after="0"/>
      </w:pPr>
      <w:r>
        <w:separator/>
      </w:r>
    </w:p>
  </w:footnote>
  <w:footnote w:type="continuationSeparator" w:id="0">
    <w:p w:rsidR="002D11F9" w:rsidRDefault="002D11F9" w:rsidP="00836F8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03B9" w:rsidRPr="005E3E68" w:rsidRDefault="00FA03B9" w:rsidP="00FA03B9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  <w:p w:rsidR="00FA03B9" w:rsidRDefault="00FA03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E68" w:rsidRPr="005E3E68" w:rsidRDefault="005E3E68" w:rsidP="005E3E68">
    <w:pPr>
      <w:pStyle w:val="Nagwek"/>
      <w:pBdr>
        <w:bottom w:val="single" w:sz="4" w:space="1" w:color="auto"/>
      </w:pBdr>
      <w:spacing w:line="360" w:lineRule="auto"/>
      <w:jc w:val="center"/>
      <w:rPr>
        <w:rFonts w:ascii="Arial" w:hAnsi="Arial" w:cs="Arial"/>
      </w:rPr>
    </w:pPr>
    <w:r>
      <w:rPr>
        <w:rFonts w:ascii="Arial" w:hAnsi="Arial" w:cs="Arial"/>
      </w:rPr>
      <w:t>D.05.02.01 NAWIERZCHNIA POBOCZY ULEPSZONYCH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578381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E67419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06326AD9"/>
    <w:multiLevelType w:val="hybridMultilevel"/>
    <w:tmpl w:val="BC9A086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3369BB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2DA12E47"/>
    <w:multiLevelType w:val="singleLevel"/>
    <w:tmpl w:val="18B63B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1B41245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">
    <w:nsid w:val="436A7E5D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68085783"/>
    <w:multiLevelType w:val="hybridMultilevel"/>
    <w:tmpl w:val="1BACD6CA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AF7A04"/>
    <w:multiLevelType w:val="singleLevel"/>
    <w:tmpl w:val="F6641092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789F3F3C"/>
    <w:multiLevelType w:val="singleLevel"/>
    <w:tmpl w:val="F664109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7F3F726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2"/>
  </w:num>
  <w:num w:numId="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D2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1E16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252"/>
    <w:rsid w:val="001D0593"/>
    <w:rsid w:val="001D474F"/>
    <w:rsid w:val="001D6263"/>
    <w:rsid w:val="001E12D1"/>
    <w:rsid w:val="001E3706"/>
    <w:rsid w:val="001E3E95"/>
    <w:rsid w:val="001F1517"/>
    <w:rsid w:val="001F5035"/>
    <w:rsid w:val="001F7443"/>
    <w:rsid w:val="00201444"/>
    <w:rsid w:val="00211422"/>
    <w:rsid w:val="00214F1F"/>
    <w:rsid w:val="0022444D"/>
    <w:rsid w:val="00235F3A"/>
    <w:rsid w:val="002405B7"/>
    <w:rsid w:val="0024084F"/>
    <w:rsid w:val="00241B61"/>
    <w:rsid w:val="00247CEE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871D1"/>
    <w:rsid w:val="00291B55"/>
    <w:rsid w:val="00295D83"/>
    <w:rsid w:val="002A0461"/>
    <w:rsid w:val="002A4172"/>
    <w:rsid w:val="002A4435"/>
    <w:rsid w:val="002B1BF8"/>
    <w:rsid w:val="002B5311"/>
    <w:rsid w:val="002B6F91"/>
    <w:rsid w:val="002C19FF"/>
    <w:rsid w:val="002C36A1"/>
    <w:rsid w:val="002C7683"/>
    <w:rsid w:val="002D11F9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054F"/>
    <w:rsid w:val="003160C0"/>
    <w:rsid w:val="00320093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D7741"/>
    <w:rsid w:val="004E05AA"/>
    <w:rsid w:val="004E208A"/>
    <w:rsid w:val="004E2A0B"/>
    <w:rsid w:val="004E5C20"/>
    <w:rsid w:val="004F00D1"/>
    <w:rsid w:val="004F18A3"/>
    <w:rsid w:val="004F2086"/>
    <w:rsid w:val="004F2781"/>
    <w:rsid w:val="004F3398"/>
    <w:rsid w:val="004F5776"/>
    <w:rsid w:val="004F7E24"/>
    <w:rsid w:val="005153E9"/>
    <w:rsid w:val="00521AF6"/>
    <w:rsid w:val="00522130"/>
    <w:rsid w:val="00522A41"/>
    <w:rsid w:val="005237EF"/>
    <w:rsid w:val="00526AE3"/>
    <w:rsid w:val="00534B18"/>
    <w:rsid w:val="00536200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1C59"/>
    <w:rsid w:val="005D5CF1"/>
    <w:rsid w:val="005E09F4"/>
    <w:rsid w:val="005E1FD6"/>
    <w:rsid w:val="005E3E68"/>
    <w:rsid w:val="005F190D"/>
    <w:rsid w:val="005F2ABA"/>
    <w:rsid w:val="0060062D"/>
    <w:rsid w:val="00601BE4"/>
    <w:rsid w:val="00605A1C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21D2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60D2"/>
    <w:rsid w:val="0072701E"/>
    <w:rsid w:val="007330CF"/>
    <w:rsid w:val="00746A04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368AA"/>
    <w:rsid w:val="00836F80"/>
    <w:rsid w:val="00837F84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4559"/>
    <w:rsid w:val="008854D9"/>
    <w:rsid w:val="00886352"/>
    <w:rsid w:val="00890C4A"/>
    <w:rsid w:val="00890F6F"/>
    <w:rsid w:val="00891F78"/>
    <w:rsid w:val="00892249"/>
    <w:rsid w:val="00897F08"/>
    <w:rsid w:val="008A04BF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67A2"/>
    <w:rsid w:val="008E76B8"/>
    <w:rsid w:val="008E7BED"/>
    <w:rsid w:val="008E7D62"/>
    <w:rsid w:val="008F0AF3"/>
    <w:rsid w:val="008F3C9C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5369D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38B0"/>
    <w:rsid w:val="009B5E45"/>
    <w:rsid w:val="009C1201"/>
    <w:rsid w:val="009C2520"/>
    <w:rsid w:val="009C2C0A"/>
    <w:rsid w:val="009C3F6A"/>
    <w:rsid w:val="009C4F32"/>
    <w:rsid w:val="009C5A55"/>
    <w:rsid w:val="009D138C"/>
    <w:rsid w:val="009D3AE1"/>
    <w:rsid w:val="009D3E06"/>
    <w:rsid w:val="009D454B"/>
    <w:rsid w:val="009D6438"/>
    <w:rsid w:val="009D6B75"/>
    <w:rsid w:val="009D6B82"/>
    <w:rsid w:val="009F2A7E"/>
    <w:rsid w:val="009F3E59"/>
    <w:rsid w:val="009F4C3F"/>
    <w:rsid w:val="009F5CFA"/>
    <w:rsid w:val="009F6370"/>
    <w:rsid w:val="00A0057D"/>
    <w:rsid w:val="00A04DF4"/>
    <w:rsid w:val="00A05015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43A0F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86753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5C36"/>
    <w:rsid w:val="00AC6463"/>
    <w:rsid w:val="00AC6C20"/>
    <w:rsid w:val="00AC70D5"/>
    <w:rsid w:val="00AD01E1"/>
    <w:rsid w:val="00AE191E"/>
    <w:rsid w:val="00AE3A5F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4309"/>
    <w:rsid w:val="00BD5BC4"/>
    <w:rsid w:val="00BE5230"/>
    <w:rsid w:val="00BE5B86"/>
    <w:rsid w:val="00BE695C"/>
    <w:rsid w:val="00BF044A"/>
    <w:rsid w:val="00BF0AF5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646C"/>
    <w:rsid w:val="00C37635"/>
    <w:rsid w:val="00C4072D"/>
    <w:rsid w:val="00C40F42"/>
    <w:rsid w:val="00C4192A"/>
    <w:rsid w:val="00C468B6"/>
    <w:rsid w:val="00C5300C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5F1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3250"/>
    <w:rsid w:val="00E54854"/>
    <w:rsid w:val="00E55EFD"/>
    <w:rsid w:val="00E567D6"/>
    <w:rsid w:val="00E613E2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2428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3B9"/>
    <w:rsid w:val="00FA0AEE"/>
    <w:rsid w:val="00FB00E9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5B40774-4B2E-492A-9E82-22758867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6F80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basedOn w:val="Normalny"/>
    <w:rsid w:val="00836F80"/>
    <w:pPr>
      <w:spacing w:before="0" w:after="0"/>
      <w:jc w:val="left"/>
    </w:pPr>
  </w:style>
  <w:style w:type="paragraph" w:customStyle="1" w:styleId="Styl1">
    <w:name w:val="Styl1"/>
    <w:basedOn w:val="Normalny"/>
    <w:rsid w:val="00836F80"/>
    <w:pPr>
      <w:spacing w:before="0" w:after="0"/>
    </w:pPr>
    <w:rPr>
      <w:rFonts w:ascii="Arial" w:hAnsi="Arial"/>
      <w:szCs w:val="24"/>
    </w:rPr>
  </w:style>
  <w:style w:type="paragraph" w:customStyle="1" w:styleId="Standardowytekst">
    <w:name w:val="Standardowy.tekst"/>
    <w:rsid w:val="00836F8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836F80"/>
    <w:pPr>
      <w:overflowPunct w:val="0"/>
      <w:autoSpaceDE w:val="0"/>
      <w:autoSpaceDN w:val="0"/>
      <w:adjustRightInd w:val="0"/>
      <w:spacing w:before="0" w:after="0"/>
    </w:pPr>
  </w:style>
  <w:style w:type="character" w:customStyle="1" w:styleId="biggertext">
    <w:name w:val="biggertext"/>
    <w:basedOn w:val="Domylnaczcionkaakapitu"/>
    <w:rsid w:val="00836F80"/>
  </w:style>
  <w:style w:type="paragraph" w:styleId="Nagwek">
    <w:name w:val="header"/>
    <w:basedOn w:val="Normalny"/>
    <w:link w:val="Nagwek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6F8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836F80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2485</Words>
  <Characters>14910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28</cp:revision>
  <dcterms:created xsi:type="dcterms:W3CDTF">2014-04-01T14:02:00Z</dcterms:created>
  <dcterms:modified xsi:type="dcterms:W3CDTF">2018-04-07T18:22:00Z</dcterms:modified>
</cp:coreProperties>
</file>