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r>
      <w:r>
        <w:rPr>
          <w:b/>
          <w:bCs/>
          <w:sz w:val="22"/>
        </w:rPr>
        <w:t xml:space="preserve"> PODBUDOWA Z MIESZANKI NIEZWIĄZANEJ</w:t>
      </w:r>
      <w:r>
        <w:rPr>
          <w:rFonts w:cs="Arial"/>
          <w:i/>
          <w:iCs/>
        </w:rPr>
        <w:t xml:space="preserve"> </w:t>
      </w:r>
      <w:r>
        <w:rPr>
          <w:b/>
          <w:bCs/>
          <w:sz w:val="22"/>
        </w:rPr>
        <w:t xml:space="preserve">KRUSZYWA ŁAMANEGO </w:t>
      </w:r>
      <w:r>
        <w:rPr>
          <w:b/>
          <w:bCs/>
          <w:sz w:val="22"/>
        </w:rPr>
        <w:t xml:space="preserve">  </w:t>
      </w:r>
    </w:p>
    <w:p w:rsidR="00836F80" w:rsidRDefault="00836F80" w:rsidP="00836F80">
      <w:pPr>
        <w:pStyle w:val="Styl1"/>
        <w:ind w:left="1276" w:hanging="1276"/>
        <w:rPr>
          <w:b/>
          <w:bCs/>
          <w:sz w:val="22"/>
        </w:rPr>
      </w:pPr>
      <w:r>
        <w:rPr>
          <w:b/>
          <w:bCs/>
          <w:sz w:val="22"/>
        </w:rPr>
        <w:tab/>
        <w:t xml:space="preserve"> </w:t>
      </w:r>
      <w:r>
        <w:rPr>
          <w:b/>
          <w:bCs/>
          <w:sz w:val="22"/>
        </w:rPr>
        <w:t xml:space="preserve">0/31,5 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836F80" w:rsidRDefault="00836F80" w:rsidP="00836F80">
      <w:pPr>
        <w:pStyle w:val="Styl1"/>
      </w:pPr>
      <w:r>
        <w:t>Przedmiotem niniejszej Specyfikacji Technicznej Wykonania i Odbioru Robót Budowlanych (ST) są wymagania dotyczące wykonania i odbioru robót związanych z wykonaniem podbudowy z kruszywa łamanego 0/31,5 stabilizowanego mechanicznie.</w:t>
      </w:r>
    </w:p>
    <w:p w:rsidR="00836F80" w:rsidRDefault="00836F80" w:rsidP="00836F80">
      <w:pPr>
        <w:pStyle w:val="Styl1"/>
      </w:pP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Ustalenia zawarte w niniejszej specyfikacji dotyczą zasad prowadzenia robót związanych z wykonaniem warstwy podbudowy z kruszywa łamanego 0/31,5 stabilizowanego mechanicznie o grubości:</w:t>
      </w:r>
    </w:p>
    <w:p w:rsidR="00836F80" w:rsidRDefault="00836F80" w:rsidP="00836F80">
      <w:pPr>
        <w:pStyle w:val="Styl1"/>
      </w:pPr>
      <w:r>
        <w:t xml:space="preserve">30 </w:t>
      </w:r>
      <w:r>
        <w:t>cm, zgodnie z lokalizacją określoną w Dokumentacji Projektowej</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0" w:name="_Toc407086046"/>
      <w:bookmarkStart w:id="1" w:name="_Toc407085598"/>
      <w:bookmarkStart w:id="2" w:name="_Toc407085455"/>
      <w:bookmarkStart w:id="3" w:name="_Toc407085312"/>
      <w:bookmarkStart w:id="4" w:name="_Toc407084193"/>
      <w:bookmarkStart w:id="5" w:name="_Toc407083359"/>
      <w:bookmarkStart w:id="6" w:name="_Toc407081703"/>
      <w:bookmarkStart w:id="7" w:name="_Toc407081560"/>
      <w:bookmarkStart w:id="8" w:name="_Toc407069595"/>
      <w:bookmarkStart w:id="9" w:name="_Toc406984387"/>
      <w:bookmarkStart w:id="10" w:name="_Toc406984196"/>
      <w:bookmarkStart w:id="11" w:name="_Toc406984049"/>
      <w:bookmarkStart w:id="12" w:name="_Toc406915356"/>
      <w:bookmarkStart w:id="13" w:name="_Toc406914881"/>
      <w:bookmarkStart w:id="14" w:name="_Toc406914778"/>
      <w:bookmarkStart w:id="15" w:name="_Toc406914124"/>
      <w:bookmarkStart w:id="16"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przekruszenia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t>Krzywa uziarnienia kruszywa powinna leżeć między krzywymi granicznymi o rzędnych podanych w tablicy 1</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tblGrid>
      <w:tr w:rsidR="00836F80" w:rsidTr="0076778D">
        <w:tblPrEx>
          <w:tblCellMar>
            <w:top w:w="0" w:type="dxa"/>
            <w:bottom w:w="0" w:type="dxa"/>
          </w:tblCellMar>
        </w:tblPrEx>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836F80" w:rsidRDefault="00836F80" w:rsidP="0076778D">
            <w:pPr>
              <w:jc w:val="center"/>
              <w:rPr>
                <w:rFonts w:ascii="Arial" w:hAnsi="Arial" w:cs="Arial"/>
              </w:rPr>
            </w:pPr>
            <w:r>
              <w:rPr>
                <w:rFonts w:ascii="Arial" w:hAnsi="Arial" w:cs="Arial"/>
              </w:rPr>
              <w:lastRenderedPageBreak/>
              <w:t>Sito kwadratowe [mm]</w:t>
            </w:r>
          </w:p>
        </w:tc>
        <w:tc>
          <w:tcPr>
            <w:tcW w:w="3321" w:type="dxa"/>
            <w:tcBorders>
              <w:top w:val="single" w:sz="6" w:space="0" w:color="auto"/>
              <w:left w:val="single" w:sz="6" w:space="0" w:color="auto"/>
              <w:bottom w:val="single" w:sz="6" w:space="0" w:color="auto"/>
              <w:right w:val="single" w:sz="6" w:space="0" w:color="auto"/>
            </w:tcBorders>
            <w:shd w:val="pct5" w:color="auto" w:fill="FFFFFF"/>
            <w:vAlign w:val="center"/>
          </w:tcPr>
          <w:p w:rsidR="00836F80" w:rsidRDefault="00836F80" w:rsidP="0076778D">
            <w:pPr>
              <w:jc w:val="center"/>
              <w:rPr>
                <w:rFonts w:ascii="Arial" w:hAnsi="Arial" w:cs="Arial"/>
              </w:rPr>
            </w:pPr>
            <w:r>
              <w:rPr>
                <w:rFonts w:ascii="Arial" w:hAnsi="Arial" w:cs="Arial"/>
              </w:rPr>
              <w:t>Przechodzi przez sito [%]</w:t>
            </w:r>
          </w:p>
        </w:tc>
      </w:tr>
      <w:tr w:rsidR="00836F80" w:rsidTr="0076778D">
        <w:tblPrEx>
          <w:tblCellMar>
            <w:top w:w="0" w:type="dxa"/>
            <w:bottom w:w="0" w:type="dxa"/>
          </w:tblCellMar>
        </w:tblPrEx>
        <w:trPr>
          <w:cantSplit/>
          <w:jc w:val="center"/>
        </w:trPr>
        <w:tc>
          <w:tcPr>
            <w:tcW w:w="3320" w:type="dxa"/>
            <w:gridSpan w:val="2"/>
            <w:tcBorders>
              <w:top w:val="single" w:sz="6" w:space="0" w:color="auto"/>
              <w:left w:val="single" w:sz="6" w:space="0" w:color="auto"/>
              <w:bottom w:val="single" w:sz="6" w:space="0" w:color="auto"/>
              <w:right w:val="single" w:sz="6" w:space="0" w:color="auto"/>
            </w:tcBorders>
          </w:tcPr>
          <w:p w:rsidR="00836F80" w:rsidRDefault="00836F80" w:rsidP="0076778D">
            <w:pPr>
              <w:jc w:val="center"/>
              <w:rPr>
                <w:rFonts w:ascii="Arial" w:hAnsi="Arial" w:cs="Arial"/>
              </w:rPr>
            </w:pPr>
            <w:r>
              <w:rPr>
                <w:rFonts w:ascii="Arial" w:hAnsi="Arial" w:cs="Arial"/>
              </w:rPr>
              <w:t>63</w:t>
            </w:r>
          </w:p>
          <w:p w:rsidR="00836F80" w:rsidRDefault="00836F80" w:rsidP="0076778D">
            <w:pPr>
              <w:jc w:val="center"/>
              <w:rPr>
                <w:rFonts w:ascii="Arial" w:hAnsi="Arial" w:cs="Arial"/>
              </w:rPr>
            </w:pPr>
            <w:r>
              <w:rPr>
                <w:rFonts w:ascii="Arial" w:hAnsi="Arial" w:cs="Arial"/>
              </w:rPr>
              <w:t>31,5</w:t>
            </w:r>
          </w:p>
          <w:p w:rsidR="00836F80" w:rsidRDefault="00836F80" w:rsidP="0076778D">
            <w:pPr>
              <w:jc w:val="center"/>
              <w:rPr>
                <w:rFonts w:ascii="Arial" w:hAnsi="Arial" w:cs="Arial"/>
              </w:rPr>
            </w:pPr>
            <w:r>
              <w:rPr>
                <w:rFonts w:ascii="Arial" w:hAnsi="Arial" w:cs="Arial"/>
              </w:rPr>
              <w:t>20</w:t>
            </w:r>
          </w:p>
          <w:p w:rsidR="00836F80" w:rsidRDefault="00836F80" w:rsidP="0076778D">
            <w:pPr>
              <w:jc w:val="center"/>
              <w:rPr>
                <w:rFonts w:ascii="Arial" w:hAnsi="Arial" w:cs="Arial"/>
              </w:rPr>
            </w:pPr>
            <w:r>
              <w:rPr>
                <w:rFonts w:ascii="Arial" w:hAnsi="Arial" w:cs="Arial"/>
              </w:rPr>
              <w:t>16</w:t>
            </w:r>
          </w:p>
          <w:p w:rsidR="00836F80" w:rsidRDefault="00836F80" w:rsidP="0076778D">
            <w:pPr>
              <w:jc w:val="center"/>
              <w:rPr>
                <w:rFonts w:ascii="Arial" w:hAnsi="Arial" w:cs="Arial"/>
              </w:rPr>
            </w:pPr>
            <w:r>
              <w:rPr>
                <w:rFonts w:ascii="Arial" w:hAnsi="Arial" w:cs="Arial"/>
              </w:rPr>
              <w:t>8</w:t>
            </w:r>
          </w:p>
          <w:p w:rsidR="00836F80" w:rsidRDefault="00836F80" w:rsidP="0076778D">
            <w:pPr>
              <w:jc w:val="center"/>
              <w:rPr>
                <w:rFonts w:ascii="Arial" w:hAnsi="Arial" w:cs="Arial"/>
              </w:rPr>
            </w:pPr>
            <w:r>
              <w:rPr>
                <w:rFonts w:ascii="Arial" w:hAnsi="Arial" w:cs="Arial"/>
              </w:rPr>
              <w:t>4</w:t>
            </w:r>
          </w:p>
          <w:p w:rsidR="00836F80" w:rsidRDefault="00836F80" w:rsidP="0076778D">
            <w:pPr>
              <w:jc w:val="center"/>
              <w:rPr>
                <w:rFonts w:ascii="Arial" w:hAnsi="Arial" w:cs="Arial"/>
              </w:rPr>
            </w:pPr>
            <w:r>
              <w:rPr>
                <w:rFonts w:ascii="Arial" w:hAnsi="Arial" w:cs="Arial"/>
              </w:rPr>
              <w:t>2</w:t>
            </w:r>
          </w:p>
          <w:p w:rsidR="00836F80" w:rsidRDefault="00836F80" w:rsidP="0076778D">
            <w:pPr>
              <w:jc w:val="center"/>
              <w:rPr>
                <w:rFonts w:ascii="Arial" w:hAnsi="Arial" w:cs="Arial"/>
              </w:rPr>
            </w:pPr>
            <w:r>
              <w:rPr>
                <w:rFonts w:ascii="Arial" w:hAnsi="Arial" w:cs="Arial"/>
              </w:rPr>
              <w:t>0,5</w:t>
            </w:r>
          </w:p>
          <w:p w:rsidR="00836F80" w:rsidRDefault="00836F80" w:rsidP="0076778D">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836F80" w:rsidRDefault="00836F80" w:rsidP="0076778D">
            <w:pPr>
              <w:jc w:val="center"/>
              <w:rPr>
                <w:rFonts w:ascii="Arial" w:hAnsi="Arial" w:cs="Arial"/>
              </w:rPr>
            </w:pPr>
          </w:p>
          <w:p w:rsidR="00836F80" w:rsidRDefault="00836F80" w:rsidP="0076778D">
            <w:pPr>
              <w:jc w:val="center"/>
              <w:rPr>
                <w:rFonts w:ascii="Arial" w:hAnsi="Arial" w:cs="Arial"/>
              </w:rPr>
            </w:pPr>
            <w:r>
              <w:rPr>
                <w:rFonts w:ascii="Arial" w:hAnsi="Arial" w:cs="Arial"/>
              </w:rPr>
              <w:t>100</w:t>
            </w:r>
          </w:p>
          <w:p w:rsidR="00836F80" w:rsidRDefault="00836F80" w:rsidP="0076778D">
            <w:pPr>
              <w:jc w:val="center"/>
              <w:rPr>
                <w:rFonts w:ascii="Arial" w:hAnsi="Arial" w:cs="Arial"/>
              </w:rPr>
            </w:pPr>
            <w:r>
              <w:rPr>
                <w:rFonts w:ascii="Arial" w:hAnsi="Arial" w:cs="Arial"/>
              </w:rPr>
              <w:t>78 - 100</w:t>
            </w:r>
          </w:p>
          <w:p w:rsidR="00836F80" w:rsidRDefault="00836F80" w:rsidP="0076778D">
            <w:pPr>
              <w:jc w:val="center"/>
              <w:rPr>
                <w:rFonts w:ascii="Arial" w:hAnsi="Arial" w:cs="Arial"/>
              </w:rPr>
            </w:pPr>
            <w:r>
              <w:rPr>
                <w:rFonts w:ascii="Arial" w:hAnsi="Arial" w:cs="Arial"/>
              </w:rPr>
              <w:t>70 - 95</w:t>
            </w:r>
          </w:p>
          <w:p w:rsidR="00836F80" w:rsidRDefault="00836F80" w:rsidP="0076778D">
            <w:pPr>
              <w:jc w:val="center"/>
              <w:rPr>
                <w:rFonts w:ascii="Arial" w:hAnsi="Arial" w:cs="Arial"/>
              </w:rPr>
            </w:pPr>
            <w:r>
              <w:rPr>
                <w:rFonts w:ascii="Arial" w:hAnsi="Arial" w:cs="Arial"/>
              </w:rPr>
              <w:t>51 - 75</w:t>
            </w:r>
          </w:p>
          <w:p w:rsidR="00836F80" w:rsidRDefault="00836F80" w:rsidP="0076778D">
            <w:pPr>
              <w:jc w:val="center"/>
              <w:rPr>
                <w:rFonts w:ascii="Arial" w:hAnsi="Arial" w:cs="Arial"/>
              </w:rPr>
            </w:pPr>
            <w:r>
              <w:rPr>
                <w:rFonts w:ascii="Arial" w:hAnsi="Arial" w:cs="Arial"/>
              </w:rPr>
              <w:t>37 - 58</w:t>
            </w:r>
          </w:p>
          <w:p w:rsidR="00836F80" w:rsidRDefault="00836F80" w:rsidP="0076778D">
            <w:pPr>
              <w:jc w:val="center"/>
              <w:rPr>
                <w:rFonts w:ascii="Arial" w:hAnsi="Arial" w:cs="Arial"/>
              </w:rPr>
            </w:pPr>
            <w:r>
              <w:rPr>
                <w:rFonts w:ascii="Arial" w:hAnsi="Arial" w:cs="Arial"/>
              </w:rPr>
              <w:t>25 - 42</w:t>
            </w:r>
          </w:p>
          <w:p w:rsidR="00836F80" w:rsidRDefault="00836F80" w:rsidP="0076778D">
            <w:pPr>
              <w:jc w:val="center"/>
              <w:rPr>
                <w:rFonts w:ascii="Arial" w:hAnsi="Arial" w:cs="Arial"/>
              </w:rPr>
            </w:pPr>
            <w:r>
              <w:rPr>
                <w:rFonts w:ascii="Arial" w:hAnsi="Arial" w:cs="Arial"/>
              </w:rPr>
              <w:t>13 - 23</w:t>
            </w:r>
          </w:p>
          <w:p w:rsidR="00836F80" w:rsidRDefault="00836F80" w:rsidP="0076778D">
            <w:pPr>
              <w:jc w:val="center"/>
              <w:rPr>
                <w:rFonts w:ascii="Arial" w:hAnsi="Arial" w:cs="Arial"/>
              </w:rPr>
            </w:pPr>
            <w:r>
              <w:rPr>
                <w:rFonts w:ascii="Arial" w:hAnsi="Arial" w:cs="Arial"/>
              </w:rPr>
              <w:t>2 -10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369"/>
        <w:gridCol w:w="3420"/>
        <w:gridCol w:w="180"/>
      </w:tblGrid>
      <w:tr w:rsidR="00836F80" w:rsidTr="0076778D">
        <w:tblPrEx>
          <w:tblCellMar>
            <w:top w:w="0" w:type="dxa"/>
            <w:bottom w:w="0" w:type="dxa"/>
          </w:tblCellMar>
        </w:tblPrEx>
        <w:trPr>
          <w:cantSplit/>
          <w:trHeight w:val="518"/>
        </w:trPr>
        <w:tc>
          <w:tcPr>
            <w:tcW w:w="567" w:type="dxa"/>
            <w:shd w:val="pct5" w:color="auto" w:fill="FFFFFF"/>
            <w:vAlign w:val="center"/>
          </w:tcPr>
          <w:p w:rsidR="00836F80" w:rsidRDefault="00836F80" w:rsidP="0076778D">
            <w:pPr>
              <w:jc w:val="center"/>
              <w:rPr>
                <w:rFonts w:ascii="Arial" w:hAnsi="Arial" w:cs="Arial"/>
              </w:rPr>
            </w:pPr>
            <w:r>
              <w:rPr>
                <w:rFonts w:ascii="Arial" w:hAnsi="Arial" w:cs="Arial"/>
              </w:rPr>
              <w:t>Lp</w:t>
            </w:r>
          </w:p>
        </w:tc>
        <w:tc>
          <w:tcPr>
            <w:tcW w:w="4369" w:type="dxa"/>
            <w:shd w:val="pct5" w:color="auto" w:fill="FFFFFF"/>
            <w:vAlign w:val="center"/>
          </w:tcPr>
          <w:p w:rsidR="00836F80" w:rsidRDefault="00836F80" w:rsidP="0076778D">
            <w:pPr>
              <w:rPr>
                <w:rFonts w:ascii="Arial" w:hAnsi="Arial" w:cs="Arial"/>
              </w:rPr>
            </w:pPr>
            <w:r>
              <w:rPr>
                <w:rFonts w:ascii="Arial" w:hAnsi="Arial" w:cs="Arial"/>
              </w:rPr>
              <w:t>Wyszczególnienie właściwości</w:t>
            </w:r>
          </w:p>
        </w:tc>
        <w:tc>
          <w:tcPr>
            <w:tcW w:w="3420" w:type="dxa"/>
            <w:tcBorders>
              <w:bottom w:val="single" w:sz="4" w:space="0" w:color="auto"/>
              <w:right w:val="nil"/>
            </w:tcBorders>
            <w:shd w:val="pct5" w:color="auto" w:fill="FFFFFF"/>
            <w:vAlign w:val="center"/>
          </w:tcPr>
          <w:p w:rsidR="00836F80" w:rsidRDefault="00836F80" w:rsidP="0076778D">
            <w:pPr>
              <w:jc w:val="center"/>
              <w:rPr>
                <w:rFonts w:ascii="Arial" w:hAnsi="Arial" w:cs="Arial"/>
              </w:rPr>
            </w:pPr>
            <w:r>
              <w:rPr>
                <w:rFonts w:ascii="Arial" w:hAnsi="Arial" w:cs="Arial"/>
              </w:rPr>
              <w:t>Wymagania</w:t>
            </w:r>
          </w:p>
        </w:tc>
        <w:tc>
          <w:tcPr>
            <w:tcW w:w="180" w:type="dxa"/>
            <w:tcBorders>
              <w:left w:val="nil"/>
            </w:tcBorders>
            <w:shd w:val="pct5" w:color="auto" w:fill="FFFFFF"/>
            <w:vAlign w:val="center"/>
          </w:tcPr>
          <w:p w:rsidR="00836F80" w:rsidRDefault="00836F80" w:rsidP="0076778D">
            <w:pPr>
              <w:jc w:val="center"/>
              <w:rPr>
                <w:rFonts w:ascii="Arial" w:hAnsi="Arial" w:cs="Arial"/>
              </w:rPr>
            </w:pPr>
          </w:p>
        </w:tc>
      </w:tr>
      <w:tr w:rsidR="00836F80" w:rsidTr="0076778D">
        <w:tblPrEx>
          <w:tblCellMar>
            <w:top w:w="0" w:type="dxa"/>
            <w:bottom w:w="0" w:type="dxa"/>
          </w:tblCellMar>
        </w:tblPrEx>
        <w:trPr>
          <w:cantSplit/>
          <w:trHeight w:val="482"/>
        </w:trPr>
        <w:tc>
          <w:tcPr>
            <w:tcW w:w="567" w:type="dxa"/>
          </w:tcPr>
          <w:p w:rsidR="00836F80" w:rsidRDefault="00836F80" w:rsidP="0076778D">
            <w:pPr>
              <w:jc w:val="center"/>
              <w:rPr>
                <w:rFonts w:ascii="Arial" w:hAnsi="Arial" w:cs="Arial"/>
              </w:rPr>
            </w:pPr>
            <w:r>
              <w:rPr>
                <w:rFonts w:ascii="Arial" w:hAnsi="Arial" w:cs="Arial"/>
              </w:rPr>
              <w:t>1</w:t>
            </w:r>
          </w:p>
        </w:tc>
        <w:tc>
          <w:tcPr>
            <w:tcW w:w="4369" w:type="dxa"/>
          </w:tcPr>
          <w:p w:rsidR="00836F80" w:rsidRDefault="00836F80" w:rsidP="0076778D">
            <w:pPr>
              <w:rPr>
                <w:rFonts w:ascii="Arial" w:hAnsi="Arial" w:cs="Arial"/>
              </w:rPr>
            </w:pPr>
            <w:r>
              <w:rPr>
                <w:rFonts w:ascii="Arial" w:hAnsi="Arial" w:cs="Arial"/>
              </w:rPr>
              <w:t>Zawartość ziarn mniejszych niż 0,075 mm, % (m/m)</w:t>
            </w:r>
          </w:p>
        </w:tc>
        <w:tc>
          <w:tcPr>
            <w:tcW w:w="3420" w:type="dxa"/>
            <w:tcBorders>
              <w:right w:val="nil"/>
            </w:tcBorders>
          </w:tcPr>
          <w:p w:rsidR="00836F80" w:rsidRDefault="00836F80" w:rsidP="0076778D">
            <w:pPr>
              <w:jc w:val="center"/>
              <w:rPr>
                <w:rFonts w:ascii="Arial" w:hAnsi="Arial" w:cs="Arial"/>
              </w:rPr>
            </w:pPr>
            <w:r>
              <w:rPr>
                <w:rFonts w:ascii="Arial" w:hAnsi="Arial" w:cs="Arial"/>
              </w:rPr>
              <w:t>od 2</w:t>
            </w:r>
          </w:p>
          <w:p w:rsidR="00836F80" w:rsidRDefault="00836F80" w:rsidP="0076778D">
            <w:pPr>
              <w:jc w:val="center"/>
              <w:rPr>
                <w:rFonts w:ascii="Arial" w:hAnsi="Arial" w:cs="Arial"/>
              </w:rPr>
            </w:pPr>
            <w:r>
              <w:rPr>
                <w:rFonts w:ascii="Arial" w:hAnsi="Arial" w:cs="Arial"/>
              </w:rPr>
              <w:t>do 10</w:t>
            </w:r>
          </w:p>
        </w:tc>
        <w:tc>
          <w:tcPr>
            <w:tcW w:w="180" w:type="dxa"/>
            <w:tcBorders>
              <w:left w:val="nil"/>
              <w:bottom w:val="single" w:sz="4" w:space="0" w:color="auto"/>
            </w:tcBorders>
            <w:vAlign w:val="center"/>
          </w:tcPr>
          <w:p w:rsidR="00836F80" w:rsidRDefault="00836F80" w:rsidP="0076778D">
            <w:pPr>
              <w:jc w:val="center"/>
              <w:rPr>
                <w:rFonts w:ascii="Arial" w:hAnsi="Arial" w:cs="Arial"/>
              </w:rPr>
            </w:pPr>
          </w:p>
        </w:tc>
      </w:tr>
      <w:tr w:rsidR="00836F80" w:rsidTr="0076778D">
        <w:tblPrEx>
          <w:tblCellMar>
            <w:top w:w="0" w:type="dxa"/>
            <w:bottom w:w="0" w:type="dxa"/>
          </w:tblCellMar>
        </w:tblPrEx>
        <w:trPr>
          <w:cantSplit/>
          <w:trHeight w:val="419"/>
        </w:trPr>
        <w:tc>
          <w:tcPr>
            <w:tcW w:w="567" w:type="dxa"/>
          </w:tcPr>
          <w:p w:rsidR="00836F80" w:rsidRDefault="00836F80" w:rsidP="0076778D">
            <w:pPr>
              <w:jc w:val="center"/>
              <w:rPr>
                <w:rFonts w:ascii="Arial" w:hAnsi="Arial" w:cs="Arial"/>
              </w:rPr>
            </w:pPr>
            <w:r>
              <w:rPr>
                <w:rFonts w:ascii="Arial" w:hAnsi="Arial" w:cs="Arial"/>
              </w:rPr>
              <w:t>2</w:t>
            </w:r>
          </w:p>
        </w:tc>
        <w:tc>
          <w:tcPr>
            <w:tcW w:w="4369" w:type="dxa"/>
          </w:tcPr>
          <w:p w:rsidR="00836F80" w:rsidRDefault="00836F80" w:rsidP="0076778D">
            <w:pPr>
              <w:rPr>
                <w:rFonts w:ascii="Arial" w:hAnsi="Arial" w:cs="Arial"/>
              </w:rPr>
            </w:pPr>
            <w:r>
              <w:rPr>
                <w:rFonts w:ascii="Arial" w:hAnsi="Arial" w:cs="Arial"/>
              </w:rPr>
              <w:t>Zawartość nadziarna, % (m/m), nie więcej niż</w:t>
            </w:r>
          </w:p>
        </w:tc>
        <w:tc>
          <w:tcPr>
            <w:tcW w:w="3420" w:type="dxa"/>
            <w:tcBorders>
              <w:right w:val="nil"/>
            </w:tcBorders>
            <w:vAlign w:val="center"/>
          </w:tcPr>
          <w:p w:rsidR="00836F80" w:rsidRDefault="00836F80" w:rsidP="0076778D">
            <w:pPr>
              <w:jc w:val="center"/>
              <w:rPr>
                <w:rFonts w:ascii="Arial" w:hAnsi="Arial" w:cs="Arial"/>
              </w:rPr>
            </w:pPr>
            <w:r>
              <w:rPr>
                <w:rFonts w:ascii="Arial" w:hAnsi="Arial" w:cs="Arial"/>
              </w:rPr>
              <w:t>5</w:t>
            </w:r>
          </w:p>
        </w:tc>
        <w:tc>
          <w:tcPr>
            <w:tcW w:w="180" w:type="dxa"/>
            <w:tcBorders>
              <w:left w:val="nil"/>
              <w:bottom w:val="single" w:sz="4" w:space="0" w:color="auto"/>
            </w:tcBorders>
            <w:vAlign w:val="center"/>
          </w:tcPr>
          <w:p w:rsidR="00836F80" w:rsidRDefault="00836F80" w:rsidP="0076778D">
            <w:pPr>
              <w:jc w:val="center"/>
              <w:rPr>
                <w:rFonts w:ascii="Arial" w:hAnsi="Arial" w:cs="Arial"/>
              </w:rPr>
            </w:pPr>
          </w:p>
        </w:tc>
      </w:tr>
      <w:tr w:rsidR="00836F80" w:rsidTr="0076778D">
        <w:tblPrEx>
          <w:tblCellMar>
            <w:top w:w="0" w:type="dxa"/>
            <w:bottom w:w="0" w:type="dxa"/>
          </w:tblCellMar>
        </w:tblPrEx>
        <w:trPr>
          <w:cantSplit/>
          <w:trHeight w:val="525"/>
        </w:trPr>
        <w:tc>
          <w:tcPr>
            <w:tcW w:w="567" w:type="dxa"/>
          </w:tcPr>
          <w:p w:rsidR="00836F80" w:rsidRDefault="00836F80" w:rsidP="0076778D">
            <w:pPr>
              <w:jc w:val="center"/>
              <w:rPr>
                <w:rFonts w:ascii="Arial" w:hAnsi="Arial" w:cs="Arial"/>
              </w:rPr>
            </w:pPr>
            <w:r>
              <w:rPr>
                <w:rFonts w:ascii="Arial" w:hAnsi="Arial" w:cs="Arial"/>
              </w:rPr>
              <w:t>3</w:t>
            </w:r>
          </w:p>
        </w:tc>
        <w:tc>
          <w:tcPr>
            <w:tcW w:w="4369" w:type="dxa"/>
          </w:tcPr>
          <w:p w:rsidR="00836F80" w:rsidRDefault="00836F80" w:rsidP="0076778D">
            <w:pPr>
              <w:rPr>
                <w:rFonts w:ascii="Arial" w:hAnsi="Arial" w:cs="Arial"/>
              </w:rPr>
            </w:pPr>
            <w:r>
              <w:rPr>
                <w:rFonts w:ascii="Arial" w:hAnsi="Arial" w:cs="Arial"/>
              </w:rPr>
              <w:t>Zawartość ziarn nieforemnych, % (m/m), nie więcej niż</w:t>
            </w:r>
          </w:p>
        </w:tc>
        <w:tc>
          <w:tcPr>
            <w:tcW w:w="3420" w:type="dxa"/>
            <w:tcBorders>
              <w:right w:val="nil"/>
            </w:tcBorders>
            <w:vAlign w:val="center"/>
          </w:tcPr>
          <w:p w:rsidR="00836F80" w:rsidRDefault="00836F80" w:rsidP="0076778D">
            <w:pPr>
              <w:jc w:val="center"/>
              <w:rPr>
                <w:rFonts w:ascii="Arial" w:hAnsi="Arial" w:cs="Arial"/>
              </w:rPr>
            </w:pPr>
            <w:r>
              <w:rPr>
                <w:rFonts w:ascii="Arial" w:hAnsi="Arial" w:cs="Arial"/>
              </w:rPr>
              <w:t>35</w:t>
            </w:r>
          </w:p>
        </w:tc>
        <w:tc>
          <w:tcPr>
            <w:tcW w:w="180" w:type="dxa"/>
            <w:tcBorders>
              <w:left w:val="nil"/>
              <w:bottom w:val="single" w:sz="4" w:space="0" w:color="auto"/>
            </w:tcBorders>
            <w:vAlign w:val="center"/>
          </w:tcPr>
          <w:p w:rsidR="00836F80" w:rsidRDefault="00836F80" w:rsidP="0076778D">
            <w:pPr>
              <w:jc w:val="center"/>
              <w:rPr>
                <w:rFonts w:ascii="Arial" w:hAnsi="Arial" w:cs="Arial"/>
              </w:rPr>
            </w:pPr>
          </w:p>
        </w:tc>
      </w:tr>
      <w:tr w:rsidR="00836F80" w:rsidTr="0076778D">
        <w:tblPrEx>
          <w:tblCellMar>
            <w:top w:w="0" w:type="dxa"/>
            <w:bottom w:w="0" w:type="dxa"/>
          </w:tblCellMar>
        </w:tblPrEx>
        <w:trPr>
          <w:cantSplit/>
          <w:trHeight w:val="547"/>
        </w:trPr>
        <w:tc>
          <w:tcPr>
            <w:tcW w:w="567" w:type="dxa"/>
          </w:tcPr>
          <w:p w:rsidR="00836F80" w:rsidRDefault="00836F80" w:rsidP="0076778D">
            <w:pPr>
              <w:jc w:val="center"/>
              <w:rPr>
                <w:rFonts w:ascii="Arial" w:hAnsi="Arial" w:cs="Arial"/>
              </w:rPr>
            </w:pPr>
            <w:r>
              <w:rPr>
                <w:rFonts w:ascii="Arial" w:hAnsi="Arial" w:cs="Arial"/>
              </w:rPr>
              <w:t>4</w:t>
            </w:r>
          </w:p>
        </w:tc>
        <w:tc>
          <w:tcPr>
            <w:tcW w:w="4369" w:type="dxa"/>
            <w:vAlign w:val="center"/>
          </w:tcPr>
          <w:p w:rsidR="00836F80" w:rsidRDefault="00836F80" w:rsidP="0076778D">
            <w:pPr>
              <w:pStyle w:val="Tabela"/>
              <w:jc w:val="both"/>
              <w:rPr>
                <w:rFonts w:ascii="Arial" w:hAnsi="Arial" w:cs="Arial"/>
              </w:rPr>
            </w:pPr>
            <w:r>
              <w:rPr>
                <w:rFonts w:ascii="Arial" w:hAnsi="Arial" w:cs="Arial"/>
              </w:rPr>
              <w:t>Zawartość zanieczyszczeń organicznych</w:t>
            </w:r>
          </w:p>
        </w:tc>
        <w:tc>
          <w:tcPr>
            <w:tcW w:w="3420" w:type="dxa"/>
            <w:tcBorders>
              <w:right w:val="nil"/>
            </w:tcBorders>
            <w:vAlign w:val="center"/>
          </w:tcPr>
          <w:p w:rsidR="00836F80" w:rsidRDefault="00836F80" w:rsidP="0076778D">
            <w:pPr>
              <w:jc w:val="center"/>
              <w:rPr>
                <w:rFonts w:ascii="Arial" w:hAnsi="Arial" w:cs="Arial"/>
              </w:rPr>
            </w:pPr>
            <w:r>
              <w:rPr>
                <w:rFonts w:ascii="Arial" w:hAnsi="Arial" w:cs="Arial"/>
              </w:rPr>
              <w:t>barwa nie ciemniejsza niż wzorcowa</w:t>
            </w:r>
          </w:p>
        </w:tc>
        <w:tc>
          <w:tcPr>
            <w:tcW w:w="180" w:type="dxa"/>
            <w:tcBorders>
              <w:left w:val="nil"/>
              <w:bottom w:val="single" w:sz="4" w:space="0" w:color="auto"/>
            </w:tcBorders>
            <w:vAlign w:val="center"/>
          </w:tcPr>
          <w:p w:rsidR="00836F80" w:rsidRDefault="00836F80" w:rsidP="0076778D">
            <w:pPr>
              <w:jc w:val="center"/>
              <w:rPr>
                <w:rFonts w:ascii="Arial" w:hAnsi="Arial" w:cs="Arial"/>
              </w:rPr>
            </w:pPr>
          </w:p>
        </w:tc>
      </w:tr>
      <w:tr w:rsidR="00836F80" w:rsidTr="0076778D">
        <w:tblPrEx>
          <w:tblCellMar>
            <w:top w:w="0" w:type="dxa"/>
            <w:bottom w:w="0" w:type="dxa"/>
          </w:tblCellMar>
        </w:tblPrEx>
        <w:trPr>
          <w:cantSplit/>
          <w:trHeight w:val="708"/>
        </w:trPr>
        <w:tc>
          <w:tcPr>
            <w:tcW w:w="567" w:type="dxa"/>
          </w:tcPr>
          <w:p w:rsidR="00836F80" w:rsidRDefault="00836F80" w:rsidP="0076778D">
            <w:pPr>
              <w:jc w:val="center"/>
              <w:rPr>
                <w:rFonts w:ascii="Arial" w:hAnsi="Arial" w:cs="Arial"/>
              </w:rPr>
            </w:pPr>
            <w:r>
              <w:rPr>
                <w:rFonts w:ascii="Arial" w:hAnsi="Arial" w:cs="Arial"/>
              </w:rPr>
              <w:t>5</w:t>
            </w:r>
          </w:p>
        </w:tc>
        <w:tc>
          <w:tcPr>
            <w:tcW w:w="4369" w:type="dxa"/>
          </w:tcPr>
          <w:p w:rsidR="00836F80" w:rsidRDefault="00836F80" w:rsidP="0076778D">
            <w:pPr>
              <w:rPr>
                <w:rFonts w:ascii="Arial" w:hAnsi="Arial" w:cs="Arial"/>
              </w:rPr>
            </w:pPr>
            <w:r>
              <w:rPr>
                <w:rFonts w:ascii="Arial" w:hAnsi="Arial" w:cs="Arial"/>
              </w:rPr>
              <w:t>Wskaźnik piaskowy po pięciokrotnym zagęszczeniu metodą I lub II wg PN-B-04481, %</w:t>
            </w:r>
          </w:p>
        </w:tc>
        <w:tc>
          <w:tcPr>
            <w:tcW w:w="3420" w:type="dxa"/>
            <w:tcBorders>
              <w:right w:val="nil"/>
            </w:tcBorders>
            <w:vAlign w:val="center"/>
          </w:tcPr>
          <w:p w:rsidR="00836F80" w:rsidRDefault="00836F80" w:rsidP="0076778D">
            <w:pPr>
              <w:jc w:val="center"/>
              <w:rPr>
                <w:rFonts w:ascii="Arial" w:hAnsi="Arial" w:cs="Arial"/>
              </w:rPr>
            </w:pPr>
            <w:r>
              <w:rPr>
                <w:rFonts w:ascii="Arial" w:hAnsi="Arial" w:cs="Arial"/>
              </w:rPr>
              <w:t>od 30</w:t>
            </w:r>
          </w:p>
          <w:p w:rsidR="00836F80" w:rsidRDefault="00836F80" w:rsidP="0076778D">
            <w:pPr>
              <w:jc w:val="center"/>
              <w:rPr>
                <w:rFonts w:ascii="Arial" w:hAnsi="Arial" w:cs="Arial"/>
              </w:rPr>
            </w:pPr>
            <w:r>
              <w:rPr>
                <w:rFonts w:ascii="Arial" w:hAnsi="Arial" w:cs="Arial"/>
              </w:rPr>
              <w:t>do 70</w:t>
            </w:r>
          </w:p>
        </w:tc>
        <w:tc>
          <w:tcPr>
            <w:tcW w:w="180" w:type="dxa"/>
            <w:tcBorders>
              <w:left w:val="nil"/>
              <w:bottom w:val="single" w:sz="4" w:space="0" w:color="auto"/>
            </w:tcBorders>
            <w:vAlign w:val="center"/>
          </w:tcPr>
          <w:p w:rsidR="00836F80" w:rsidRDefault="00836F80" w:rsidP="0076778D">
            <w:pPr>
              <w:jc w:val="center"/>
              <w:rPr>
                <w:rFonts w:ascii="Arial" w:hAnsi="Arial" w:cs="Arial"/>
              </w:rPr>
            </w:pPr>
          </w:p>
        </w:tc>
      </w:tr>
      <w:tr w:rsidR="00836F80" w:rsidTr="0076778D">
        <w:tblPrEx>
          <w:tblCellMar>
            <w:top w:w="0" w:type="dxa"/>
            <w:bottom w:w="0" w:type="dxa"/>
          </w:tblCellMar>
        </w:tblPrEx>
        <w:trPr>
          <w:cantSplit/>
          <w:trHeight w:val="1259"/>
        </w:trPr>
        <w:tc>
          <w:tcPr>
            <w:tcW w:w="567" w:type="dxa"/>
          </w:tcPr>
          <w:p w:rsidR="00836F80" w:rsidRDefault="00836F80" w:rsidP="0076778D">
            <w:pPr>
              <w:jc w:val="center"/>
              <w:rPr>
                <w:rFonts w:ascii="Arial" w:hAnsi="Arial" w:cs="Arial"/>
              </w:rPr>
            </w:pPr>
            <w:r>
              <w:rPr>
                <w:rFonts w:ascii="Arial" w:hAnsi="Arial" w:cs="Arial"/>
              </w:rPr>
              <w:t>6</w:t>
            </w:r>
          </w:p>
        </w:tc>
        <w:tc>
          <w:tcPr>
            <w:tcW w:w="4369" w:type="dxa"/>
            <w:vAlign w:val="center"/>
          </w:tcPr>
          <w:p w:rsidR="00836F80" w:rsidRDefault="00836F80" w:rsidP="0076778D">
            <w:pPr>
              <w:rPr>
                <w:rFonts w:ascii="Arial" w:hAnsi="Arial" w:cs="Arial"/>
              </w:rPr>
            </w:pPr>
            <w:r>
              <w:rPr>
                <w:rFonts w:ascii="Arial" w:hAnsi="Arial" w:cs="Arial"/>
              </w:rPr>
              <w:t xml:space="preserve">Ścieralność w bębnie Los Angeles </w:t>
            </w:r>
          </w:p>
          <w:p w:rsidR="00836F80" w:rsidRDefault="00836F80" w:rsidP="00836F80">
            <w:pPr>
              <w:numPr>
                <w:ilvl w:val="0"/>
                <w:numId w:val="2"/>
              </w:numPr>
              <w:spacing w:before="0" w:after="0"/>
              <w:rPr>
                <w:rFonts w:ascii="Arial" w:hAnsi="Arial" w:cs="Arial"/>
              </w:rPr>
            </w:pPr>
            <w:r>
              <w:rPr>
                <w:rFonts w:ascii="Arial" w:hAnsi="Arial" w:cs="Arial"/>
              </w:rPr>
              <w:t>ścieralność całkowita po pełnej liczbie obrotów, nie więcej niż</w:t>
            </w:r>
          </w:p>
          <w:p w:rsidR="00836F80" w:rsidRDefault="00836F80" w:rsidP="00836F80">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3420" w:type="dxa"/>
            <w:tcBorders>
              <w:right w:val="nil"/>
            </w:tcBorders>
            <w:vAlign w:val="center"/>
          </w:tcPr>
          <w:p w:rsidR="00836F80" w:rsidRDefault="00836F80" w:rsidP="0076778D">
            <w:pPr>
              <w:rPr>
                <w:rFonts w:ascii="Arial" w:hAnsi="Arial" w:cs="Arial"/>
                <w:sz w:val="10"/>
                <w:szCs w:val="10"/>
              </w:rPr>
            </w:pPr>
          </w:p>
          <w:p w:rsidR="00836F80" w:rsidRDefault="00836F80" w:rsidP="0076778D">
            <w:pPr>
              <w:jc w:val="center"/>
              <w:rPr>
                <w:rFonts w:ascii="Arial" w:hAnsi="Arial" w:cs="Arial"/>
                <w:sz w:val="10"/>
                <w:szCs w:val="10"/>
              </w:rPr>
            </w:pPr>
          </w:p>
          <w:p w:rsidR="00836F80" w:rsidRDefault="00836F80" w:rsidP="0076778D">
            <w:pPr>
              <w:jc w:val="center"/>
              <w:rPr>
                <w:rFonts w:ascii="Arial" w:hAnsi="Arial" w:cs="Arial"/>
              </w:rPr>
            </w:pPr>
            <w:r>
              <w:rPr>
                <w:rFonts w:ascii="Arial" w:hAnsi="Arial" w:cs="Arial"/>
              </w:rPr>
              <w:t>35</w:t>
            </w:r>
          </w:p>
          <w:p w:rsidR="00836F80" w:rsidRDefault="00836F80" w:rsidP="0076778D">
            <w:pPr>
              <w:rPr>
                <w:rFonts w:ascii="Arial" w:hAnsi="Arial" w:cs="Arial"/>
                <w:sz w:val="16"/>
                <w:szCs w:val="16"/>
              </w:rPr>
            </w:pPr>
          </w:p>
          <w:p w:rsidR="00836F80" w:rsidRDefault="00836F80" w:rsidP="0076778D">
            <w:pPr>
              <w:rPr>
                <w:rFonts w:ascii="Arial" w:hAnsi="Arial" w:cs="Arial"/>
                <w:sz w:val="16"/>
                <w:szCs w:val="16"/>
              </w:rPr>
            </w:pPr>
          </w:p>
          <w:p w:rsidR="00836F80" w:rsidRDefault="00836F80" w:rsidP="0076778D">
            <w:pPr>
              <w:jc w:val="center"/>
              <w:rPr>
                <w:rFonts w:ascii="Arial" w:hAnsi="Arial" w:cs="Arial"/>
              </w:rPr>
            </w:pPr>
            <w:r>
              <w:rPr>
                <w:rFonts w:ascii="Arial" w:hAnsi="Arial" w:cs="Arial"/>
              </w:rPr>
              <w:t>30</w:t>
            </w:r>
          </w:p>
        </w:tc>
        <w:tc>
          <w:tcPr>
            <w:tcW w:w="180" w:type="dxa"/>
            <w:tcBorders>
              <w:left w:val="nil"/>
              <w:bottom w:val="single" w:sz="4" w:space="0" w:color="auto"/>
            </w:tcBorders>
            <w:vAlign w:val="center"/>
          </w:tcPr>
          <w:p w:rsidR="00836F80" w:rsidRDefault="00836F80" w:rsidP="0076778D">
            <w:pPr>
              <w:jc w:val="center"/>
              <w:rPr>
                <w:rFonts w:ascii="Arial" w:hAnsi="Arial" w:cs="Arial"/>
              </w:rPr>
            </w:pPr>
          </w:p>
        </w:tc>
      </w:tr>
      <w:tr w:rsidR="00836F80" w:rsidTr="0076778D">
        <w:tblPrEx>
          <w:tblCellMar>
            <w:top w:w="0" w:type="dxa"/>
            <w:bottom w:w="0" w:type="dxa"/>
          </w:tblCellMar>
        </w:tblPrEx>
        <w:trPr>
          <w:cantSplit/>
          <w:trHeight w:val="554"/>
        </w:trPr>
        <w:tc>
          <w:tcPr>
            <w:tcW w:w="567" w:type="dxa"/>
            <w:vAlign w:val="center"/>
          </w:tcPr>
          <w:p w:rsidR="00836F80" w:rsidRDefault="00836F80" w:rsidP="0076778D">
            <w:pPr>
              <w:jc w:val="center"/>
              <w:rPr>
                <w:rFonts w:ascii="Arial" w:hAnsi="Arial" w:cs="Arial"/>
              </w:rPr>
            </w:pPr>
            <w:r>
              <w:rPr>
                <w:rFonts w:ascii="Arial" w:hAnsi="Arial" w:cs="Arial"/>
              </w:rPr>
              <w:t>7</w:t>
            </w:r>
          </w:p>
        </w:tc>
        <w:tc>
          <w:tcPr>
            <w:tcW w:w="4369" w:type="dxa"/>
            <w:vAlign w:val="center"/>
          </w:tcPr>
          <w:p w:rsidR="00836F80" w:rsidRDefault="00836F80" w:rsidP="0076778D">
            <w:pPr>
              <w:rPr>
                <w:rFonts w:ascii="Arial" w:hAnsi="Arial" w:cs="Arial"/>
              </w:rPr>
            </w:pPr>
            <w:r>
              <w:rPr>
                <w:rFonts w:ascii="Arial" w:hAnsi="Arial" w:cs="Arial"/>
              </w:rPr>
              <w:t>Nasiąkliwość, % (m/m), nie wiece niż</w:t>
            </w:r>
          </w:p>
        </w:tc>
        <w:tc>
          <w:tcPr>
            <w:tcW w:w="3420" w:type="dxa"/>
            <w:tcBorders>
              <w:right w:val="nil"/>
            </w:tcBorders>
            <w:vAlign w:val="center"/>
          </w:tcPr>
          <w:p w:rsidR="00836F80" w:rsidRDefault="00836F80" w:rsidP="0076778D">
            <w:pPr>
              <w:jc w:val="center"/>
              <w:rPr>
                <w:rFonts w:ascii="Arial" w:hAnsi="Arial" w:cs="Arial"/>
              </w:rPr>
            </w:pPr>
            <w:r>
              <w:rPr>
                <w:rFonts w:ascii="Arial" w:hAnsi="Arial" w:cs="Arial"/>
              </w:rPr>
              <w:t>3</w:t>
            </w:r>
          </w:p>
        </w:tc>
        <w:tc>
          <w:tcPr>
            <w:tcW w:w="180" w:type="dxa"/>
            <w:tcBorders>
              <w:left w:val="nil"/>
              <w:bottom w:val="single" w:sz="4" w:space="0" w:color="auto"/>
            </w:tcBorders>
            <w:vAlign w:val="center"/>
          </w:tcPr>
          <w:p w:rsidR="00836F80" w:rsidRDefault="00836F80" w:rsidP="0076778D">
            <w:pPr>
              <w:jc w:val="center"/>
              <w:rPr>
                <w:rFonts w:ascii="Arial" w:hAnsi="Arial" w:cs="Arial"/>
              </w:rPr>
            </w:pPr>
          </w:p>
        </w:tc>
      </w:tr>
      <w:tr w:rsidR="00836F80" w:rsidTr="0076778D">
        <w:tblPrEx>
          <w:tblCellMar>
            <w:top w:w="0" w:type="dxa"/>
            <w:bottom w:w="0" w:type="dxa"/>
          </w:tblCellMar>
        </w:tblPrEx>
        <w:trPr>
          <w:cantSplit/>
          <w:trHeight w:val="690"/>
        </w:trPr>
        <w:tc>
          <w:tcPr>
            <w:tcW w:w="567" w:type="dxa"/>
          </w:tcPr>
          <w:p w:rsidR="00836F80" w:rsidRDefault="00836F80" w:rsidP="0076778D">
            <w:pPr>
              <w:jc w:val="center"/>
              <w:rPr>
                <w:rFonts w:ascii="Arial" w:hAnsi="Arial" w:cs="Arial"/>
              </w:rPr>
            </w:pPr>
            <w:r>
              <w:rPr>
                <w:rFonts w:ascii="Arial" w:hAnsi="Arial" w:cs="Arial"/>
              </w:rPr>
              <w:t>8</w:t>
            </w:r>
          </w:p>
        </w:tc>
        <w:tc>
          <w:tcPr>
            <w:tcW w:w="4369" w:type="dxa"/>
          </w:tcPr>
          <w:p w:rsidR="00836F80" w:rsidRDefault="00836F80" w:rsidP="0076778D">
            <w:pPr>
              <w:rPr>
                <w:rFonts w:ascii="Arial" w:hAnsi="Arial" w:cs="Arial"/>
              </w:rPr>
            </w:pPr>
            <w:r>
              <w:rPr>
                <w:rFonts w:ascii="Arial" w:hAnsi="Arial" w:cs="Arial"/>
              </w:rPr>
              <w:t>Mrozoodporność, ubytek masy po 25 cyklach zamrażania, % (m/m), nie więcej niż</w:t>
            </w:r>
          </w:p>
        </w:tc>
        <w:tc>
          <w:tcPr>
            <w:tcW w:w="3420" w:type="dxa"/>
            <w:tcBorders>
              <w:right w:val="nil"/>
            </w:tcBorders>
            <w:vAlign w:val="center"/>
          </w:tcPr>
          <w:p w:rsidR="00836F80" w:rsidRDefault="00836F80" w:rsidP="0076778D">
            <w:pPr>
              <w:jc w:val="center"/>
              <w:rPr>
                <w:rFonts w:ascii="Arial" w:hAnsi="Arial" w:cs="Arial"/>
              </w:rPr>
            </w:pPr>
            <w:r>
              <w:rPr>
                <w:rFonts w:ascii="Arial" w:hAnsi="Arial" w:cs="Arial"/>
              </w:rPr>
              <w:t>5</w:t>
            </w:r>
          </w:p>
        </w:tc>
        <w:tc>
          <w:tcPr>
            <w:tcW w:w="180" w:type="dxa"/>
            <w:tcBorders>
              <w:left w:val="nil"/>
              <w:bottom w:val="single" w:sz="4" w:space="0" w:color="auto"/>
            </w:tcBorders>
            <w:vAlign w:val="center"/>
          </w:tcPr>
          <w:p w:rsidR="00836F80" w:rsidRDefault="00836F80" w:rsidP="0076778D">
            <w:pPr>
              <w:jc w:val="center"/>
              <w:rPr>
                <w:rFonts w:ascii="Arial" w:hAnsi="Arial" w:cs="Arial"/>
              </w:rPr>
            </w:pPr>
          </w:p>
        </w:tc>
      </w:tr>
      <w:tr w:rsidR="00836F80" w:rsidTr="0076778D">
        <w:tblPrEx>
          <w:tblCellMar>
            <w:top w:w="0" w:type="dxa"/>
            <w:bottom w:w="0" w:type="dxa"/>
          </w:tblCellMar>
        </w:tblPrEx>
        <w:trPr>
          <w:cantSplit/>
          <w:trHeight w:val="628"/>
        </w:trPr>
        <w:tc>
          <w:tcPr>
            <w:tcW w:w="567" w:type="dxa"/>
          </w:tcPr>
          <w:p w:rsidR="00836F80" w:rsidRDefault="00836F80" w:rsidP="0076778D">
            <w:pPr>
              <w:jc w:val="center"/>
              <w:rPr>
                <w:rFonts w:ascii="Arial" w:hAnsi="Arial" w:cs="Arial"/>
              </w:rPr>
            </w:pPr>
            <w:r>
              <w:rPr>
                <w:rFonts w:ascii="Arial" w:hAnsi="Arial" w:cs="Arial"/>
              </w:rPr>
              <w:t>9</w:t>
            </w:r>
          </w:p>
        </w:tc>
        <w:tc>
          <w:tcPr>
            <w:tcW w:w="4369" w:type="dxa"/>
          </w:tcPr>
          <w:p w:rsidR="00836F80" w:rsidRDefault="00836F80" w:rsidP="0076778D">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3420" w:type="dxa"/>
            <w:tcBorders>
              <w:right w:val="nil"/>
            </w:tcBorders>
            <w:vAlign w:val="center"/>
          </w:tcPr>
          <w:p w:rsidR="00836F80" w:rsidRDefault="00836F80" w:rsidP="0076778D">
            <w:pPr>
              <w:jc w:val="center"/>
              <w:rPr>
                <w:rFonts w:ascii="Arial" w:hAnsi="Arial" w:cs="Arial"/>
              </w:rPr>
            </w:pPr>
            <w:r>
              <w:rPr>
                <w:rFonts w:ascii="Arial" w:hAnsi="Arial" w:cs="Arial"/>
              </w:rPr>
              <w:t>1</w:t>
            </w:r>
          </w:p>
        </w:tc>
        <w:tc>
          <w:tcPr>
            <w:tcW w:w="180" w:type="dxa"/>
            <w:tcBorders>
              <w:left w:val="nil"/>
              <w:bottom w:val="single" w:sz="4" w:space="0" w:color="auto"/>
            </w:tcBorders>
            <w:vAlign w:val="center"/>
          </w:tcPr>
          <w:p w:rsidR="00836F80" w:rsidRDefault="00836F80" w:rsidP="0076778D">
            <w:pPr>
              <w:jc w:val="center"/>
              <w:rPr>
                <w:rFonts w:ascii="Arial" w:hAnsi="Arial" w:cs="Arial"/>
              </w:rPr>
            </w:pPr>
          </w:p>
        </w:tc>
      </w:tr>
      <w:tr w:rsidR="00836F80" w:rsidTr="0076778D">
        <w:tblPrEx>
          <w:tblCellMar>
            <w:top w:w="0" w:type="dxa"/>
            <w:bottom w:w="0" w:type="dxa"/>
          </w:tblCellMar>
        </w:tblPrEx>
        <w:trPr>
          <w:cantSplit/>
          <w:trHeight w:val="1272"/>
        </w:trPr>
        <w:tc>
          <w:tcPr>
            <w:tcW w:w="567" w:type="dxa"/>
          </w:tcPr>
          <w:p w:rsidR="00836F80" w:rsidRDefault="00836F80" w:rsidP="0076778D">
            <w:pPr>
              <w:jc w:val="center"/>
              <w:rPr>
                <w:rFonts w:ascii="Arial" w:hAnsi="Arial" w:cs="Arial"/>
              </w:rPr>
            </w:pPr>
            <w:r>
              <w:rPr>
                <w:rFonts w:ascii="Arial" w:hAnsi="Arial" w:cs="Arial"/>
              </w:rPr>
              <w:t>10</w:t>
            </w:r>
          </w:p>
        </w:tc>
        <w:tc>
          <w:tcPr>
            <w:tcW w:w="4369" w:type="dxa"/>
            <w:vAlign w:val="center"/>
          </w:tcPr>
          <w:p w:rsidR="00836F80" w:rsidRDefault="00836F80" w:rsidP="0076778D">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836F80" w:rsidRDefault="00836F80" w:rsidP="00836F80">
            <w:pPr>
              <w:numPr>
                <w:ilvl w:val="0"/>
                <w:numId w:val="3"/>
              </w:numPr>
              <w:spacing w:before="0" w:after="0"/>
              <w:rPr>
                <w:rFonts w:ascii="Arial" w:hAnsi="Arial" w:cs="Arial"/>
              </w:rPr>
            </w:pPr>
            <w:r>
              <w:rPr>
                <w:rFonts w:ascii="Arial" w:hAnsi="Arial" w:cs="Arial"/>
              </w:rPr>
              <w:t xml:space="preserve">przy zagęszczeniu Is </w:t>
            </w:r>
            <w:r>
              <w:rPr>
                <w:rFonts w:ascii="Arial" w:hAnsi="Arial" w:cs="Arial"/>
              </w:rPr>
              <w:sym w:font="Symbol" w:char="F0B3"/>
            </w:r>
            <w:r>
              <w:rPr>
                <w:rFonts w:ascii="Arial" w:hAnsi="Arial" w:cs="Arial"/>
              </w:rPr>
              <w:t xml:space="preserve"> 1,00*</w:t>
            </w:r>
          </w:p>
          <w:p w:rsidR="00836F80" w:rsidRDefault="00836F80" w:rsidP="00836F80">
            <w:pPr>
              <w:numPr>
                <w:ilvl w:val="0"/>
                <w:numId w:val="3"/>
              </w:numPr>
              <w:spacing w:before="0" w:after="0"/>
              <w:rPr>
                <w:rFonts w:ascii="Arial" w:hAnsi="Arial" w:cs="Arial"/>
              </w:rPr>
            </w:pPr>
            <w:r>
              <w:rPr>
                <w:rFonts w:ascii="Arial" w:hAnsi="Arial" w:cs="Arial"/>
              </w:rPr>
              <w:t xml:space="preserve">przy zagęszczeniu Is </w:t>
            </w:r>
            <w:r>
              <w:rPr>
                <w:rFonts w:ascii="Arial" w:hAnsi="Arial" w:cs="Arial"/>
              </w:rPr>
              <w:sym w:font="Symbol" w:char="F0B3"/>
            </w:r>
            <w:r>
              <w:rPr>
                <w:rFonts w:ascii="Arial" w:hAnsi="Arial" w:cs="Arial"/>
              </w:rPr>
              <w:t xml:space="preserve"> 1,03**</w:t>
            </w:r>
          </w:p>
        </w:tc>
        <w:tc>
          <w:tcPr>
            <w:tcW w:w="3420" w:type="dxa"/>
            <w:tcBorders>
              <w:right w:val="nil"/>
            </w:tcBorders>
            <w:vAlign w:val="center"/>
          </w:tcPr>
          <w:p w:rsidR="00836F80" w:rsidRDefault="00836F80" w:rsidP="0076778D">
            <w:pPr>
              <w:jc w:val="center"/>
              <w:rPr>
                <w:rFonts w:ascii="Arial" w:hAnsi="Arial" w:cs="Arial"/>
              </w:rPr>
            </w:pPr>
          </w:p>
          <w:p w:rsidR="00836F80" w:rsidRDefault="00836F80" w:rsidP="0076778D">
            <w:pPr>
              <w:rPr>
                <w:rFonts w:ascii="Arial" w:hAnsi="Arial" w:cs="Arial"/>
              </w:rPr>
            </w:pPr>
          </w:p>
          <w:p w:rsidR="00836F80" w:rsidRDefault="00836F80" w:rsidP="0076778D">
            <w:pPr>
              <w:jc w:val="center"/>
              <w:rPr>
                <w:rFonts w:ascii="Arial" w:hAnsi="Arial" w:cs="Arial"/>
              </w:rPr>
            </w:pPr>
            <w:r>
              <w:rPr>
                <w:rFonts w:ascii="Arial" w:hAnsi="Arial" w:cs="Arial"/>
              </w:rPr>
              <w:t>80</w:t>
            </w:r>
          </w:p>
          <w:p w:rsidR="00836F80" w:rsidRDefault="00836F80" w:rsidP="0076778D">
            <w:pPr>
              <w:jc w:val="center"/>
              <w:rPr>
                <w:rFonts w:ascii="Arial" w:hAnsi="Arial" w:cs="Arial"/>
              </w:rPr>
            </w:pPr>
            <w:r>
              <w:rPr>
                <w:rFonts w:ascii="Arial" w:hAnsi="Arial" w:cs="Arial"/>
              </w:rPr>
              <w:t xml:space="preserve">120 </w:t>
            </w:r>
          </w:p>
        </w:tc>
        <w:tc>
          <w:tcPr>
            <w:tcW w:w="180" w:type="dxa"/>
            <w:tcBorders>
              <w:left w:val="nil"/>
              <w:bottom w:val="single" w:sz="4" w:space="0" w:color="auto"/>
            </w:tcBorders>
            <w:vAlign w:val="center"/>
          </w:tcPr>
          <w:p w:rsidR="00836F80" w:rsidRDefault="00836F80" w:rsidP="0076778D">
            <w:pPr>
              <w:jc w:val="center"/>
              <w:rPr>
                <w:rFonts w:ascii="Arial" w:hAnsi="Arial" w:cs="Arial"/>
              </w:rPr>
            </w:pPr>
          </w:p>
        </w:tc>
      </w:tr>
    </w:tbl>
    <w:p w:rsidR="00836F80" w:rsidRDefault="00836F80" w:rsidP="00836F80">
      <w:pPr>
        <w:pStyle w:val="Styl1"/>
      </w:pPr>
      <w:r>
        <w:lastRenderedPageBreak/>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7" w:name="_Toc407086055"/>
      <w:bookmarkStart w:id="18" w:name="_Toc407085607"/>
      <w:bookmarkStart w:id="19" w:name="_Toc407085464"/>
      <w:bookmarkStart w:id="20" w:name="_Toc407085321"/>
      <w:bookmarkStart w:id="21" w:name="_Toc407084202"/>
      <w:bookmarkStart w:id="22" w:name="_Toc407083368"/>
      <w:bookmarkStart w:id="23" w:name="_Toc407081712"/>
      <w:bookmarkStart w:id="24" w:name="_Toc407081569"/>
      <w:bookmarkStart w:id="25" w:name="_Toc407069604"/>
      <w:bookmarkStart w:id="26" w:name="_Toc406984396"/>
      <w:bookmarkStart w:id="27" w:name="_Toc406984205"/>
      <w:bookmarkStart w:id="28" w:name="_Toc406984058"/>
      <w:bookmarkStart w:id="29" w:name="_Toc406915365"/>
      <w:bookmarkStart w:id="30" w:name="_Toc406914890"/>
      <w:bookmarkStart w:id="31" w:name="_Toc406914787"/>
      <w:bookmarkStart w:id="32" w:name="_Toc406914133"/>
      <w:bookmarkStart w:id="33"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836F80" w:rsidRDefault="00836F80" w:rsidP="00836F80">
      <w:pPr>
        <w:pStyle w:val="Styl1"/>
        <w:rPr>
          <w:b/>
          <w:bCs/>
        </w:rPr>
      </w:pPr>
      <w:bookmarkStart w:id="34" w:name="_Toc407086059"/>
      <w:bookmarkStart w:id="35" w:name="_Toc407085611"/>
      <w:bookmarkStart w:id="36" w:name="_Toc407085468"/>
      <w:bookmarkStart w:id="37" w:name="_Toc407085325"/>
      <w:bookmarkStart w:id="38" w:name="_Toc407084206"/>
      <w:bookmarkStart w:id="39" w:name="_Toc407083372"/>
      <w:bookmarkStart w:id="40" w:name="_Toc407081716"/>
      <w:bookmarkStart w:id="41" w:name="_Toc407081573"/>
      <w:bookmarkStart w:id="42" w:name="_Toc407069608"/>
      <w:bookmarkStart w:id="43" w:name="_Toc406984400"/>
      <w:bookmarkStart w:id="44" w:name="_Toc406984209"/>
      <w:bookmarkStart w:id="45" w:name="_Toc406984062"/>
      <w:bookmarkStart w:id="46" w:name="_Toc406915369"/>
      <w:bookmarkStart w:id="47" w:name="_Toc406914894"/>
      <w:bookmarkStart w:id="48" w:name="_Toc406914791"/>
      <w:bookmarkStart w:id="49" w:name="_Toc406914137"/>
      <w:bookmarkStart w:id="50" w:name="_Toc406913892"/>
      <w:r>
        <w:rPr>
          <w:b/>
          <w:bCs/>
        </w:rPr>
        <w:t>5.2. Przygotowanie podłoża</w:t>
      </w:r>
    </w:p>
    <w:p w:rsidR="00836F80" w:rsidRDefault="00836F80" w:rsidP="00836F80">
      <w:pPr>
        <w:pStyle w:val="Styl1"/>
      </w:pPr>
    </w:p>
    <w:p w:rsidR="00836F80" w:rsidRDefault="00836F80" w:rsidP="00836F80">
      <w:pPr>
        <w:pStyle w:val="Styl1"/>
      </w:pPr>
      <w:r>
        <w:t>Podłoże pod podbudowę z kruszywa łamanego stabilizowanego mechanicznie stanowi warstwa z kruszywa naturalnego wg ST D-04.04.01.</w:t>
      </w: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t>5.3. Wytwarzanie mieszanki kruszywa</w:t>
      </w:r>
    </w:p>
    <w:p w:rsidR="00836F80" w:rsidRDefault="00836F80" w:rsidP="00836F80">
      <w:pPr>
        <w:pStyle w:val="Styl1"/>
      </w:pPr>
    </w:p>
    <w:p w:rsidR="00836F80" w:rsidRDefault="00836F80" w:rsidP="00836F80">
      <w:pPr>
        <w:pStyle w:val="Styl1"/>
      </w:pPr>
      <w: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lastRenderedPageBreak/>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Wilgotność mieszanki kruszywa podczas zagęszczania powinna odpowiadać wilgotności optymalnej, określonej według próby Proctora,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Wskaźnik zagęszczenia podbudowy I</w:t>
      </w:r>
      <w:r>
        <w:rPr>
          <w:vertAlign w:val="subscript"/>
        </w:rPr>
        <w:t>s</w:t>
      </w:r>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836F80" w:rsidRDefault="00836F80" w:rsidP="00836F80">
      <w:pPr>
        <w:pStyle w:val="Styl1"/>
        <w:rPr>
          <w:b/>
          <w:bCs/>
        </w:rPr>
      </w:pPr>
      <w:r>
        <w:t>Nie występuje.</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1" w:name="_Toc407086067"/>
      <w:bookmarkStart w:id="52" w:name="_Toc407085619"/>
      <w:bookmarkStart w:id="53" w:name="_Toc407085476"/>
      <w:bookmarkStart w:id="54" w:name="_Toc407085333"/>
      <w:bookmarkStart w:id="55" w:name="_Toc407084214"/>
      <w:bookmarkStart w:id="56" w:name="_Toc407083380"/>
      <w:bookmarkStart w:id="57" w:name="_Toc407081724"/>
      <w:bookmarkStart w:id="58" w:name="_Toc407081581"/>
      <w:bookmarkStart w:id="59" w:name="_Toc407069616"/>
      <w:bookmarkStart w:id="60" w:name="_Toc406984408"/>
      <w:bookmarkStart w:id="61" w:name="_Toc406984217"/>
      <w:bookmarkStart w:id="62" w:name="_Toc406984070"/>
      <w:bookmarkStart w:id="63" w:name="_Toc406915377"/>
      <w:bookmarkStart w:id="64" w:name="_Toc406914902"/>
      <w:bookmarkStart w:id="65" w:name="_Toc406914799"/>
      <w:bookmarkStart w:id="66" w:name="_Toc406914145"/>
      <w:bookmarkStart w:id="67" w:name="_Toc406913900"/>
      <w:r>
        <w:rPr>
          <w:b/>
          <w:bCs/>
        </w:rPr>
        <w:t>6.2. Badania przed przystąpieniem do robót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76778D">
            <w:pPr>
              <w:pStyle w:val="tekstost"/>
              <w:jc w:val="center"/>
              <w:rPr>
                <w:rFonts w:ascii="Arial" w:hAnsi="Arial" w:cs="Arial"/>
              </w:rPr>
            </w:pPr>
          </w:p>
        </w:tc>
        <w:tc>
          <w:tcPr>
            <w:tcW w:w="4394" w:type="dxa"/>
            <w:shd w:val="pct5" w:color="auto" w:fill="FFFFFF"/>
          </w:tcPr>
          <w:p w:rsidR="00836F80" w:rsidRDefault="00836F80" w:rsidP="0076778D">
            <w:pPr>
              <w:pStyle w:val="tekstost"/>
              <w:jc w:val="center"/>
              <w:rPr>
                <w:rFonts w:ascii="Arial" w:hAnsi="Arial" w:cs="Arial"/>
              </w:rPr>
            </w:pPr>
          </w:p>
        </w:tc>
        <w:tc>
          <w:tcPr>
            <w:tcW w:w="2620" w:type="dxa"/>
            <w:gridSpan w:val="2"/>
            <w:shd w:val="pct5" w:color="auto" w:fill="FFFFFF"/>
          </w:tcPr>
          <w:p w:rsidR="00836F80" w:rsidRDefault="00836F80" w:rsidP="0076778D">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76778D">
            <w:pPr>
              <w:pStyle w:val="tekstost"/>
              <w:jc w:val="center"/>
              <w:rPr>
                <w:rFonts w:ascii="Arial" w:hAnsi="Arial" w:cs="Arial"/>
              </w:rPr>
            </w:pPr>
          </w:p>
          <w:p w:rsidR="00836F80" w:rsidRDefault="00836F80" w:rsidP="0076778D">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76778D">
            <w:pPr>
              <w:pStyle w:val="tekstost"/>
              <w:rPr>
                <w:rFonts w:ascii="Arial" w:hAnsi="Arial" w:cs="Arial"/>
              </w:rPr>
            </w:pPr>
          </w:p>
          <w:p w:rsidR="00836F80" w:rsidRDefault="00836F80" w:rsidP="0076778D">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76778D">
            <w:pPr>
              <w:pStyle w:val="tekstost"/>
              <w:spacing w:before="120"/>
              <w:jc w:val="center"/>
              <w:rPr>
                <w:rFonts w:ascii="Arial" w:hAnsi="Arial" w:cs="Arial"/>
                <w:sz w:val="16"/>
              </w:rPr>
            </w:pPr>
            <w:r>
              <w:rPr>
                <w:rFonts w:ascii="Arial" w:hAnsi="Arial" w:cs="Arial"/>
                <w:sz w:val="16"/>
              </w:rPr>
              <w:t>Minimalna liczba badań na dziennej działce roboczej</w:t>
            </w:r>
          </w:p>
        </w:tc>
        <w:tc>
          <w:tcPr>
            <w:tcW w:w="1311" w:type="dxa"/>
            <w:shd w:val="pct5" w:color="auto" w:fill="FFFFFF"/>
          </w:tcPr>
          <w:p w:rsidR="00836F80" w:rsidRDefault="00836F80" w:rsidP="0076778D">
            <w:pPr>
              <w:pStyle w:val="tekstost"/>
              <w:jc w:val="left"/>
              <w:rPr>
                <w:rFonts w:ascii="Arial" w:hAnsi="Arial" w:cs="Arial"/>
                <w:sz w:val="16"/>
              </w:rPr>
            </w:pPr>
            <w:r>
              <w:rPr>
                <w:rFonts w:ascii="Arial" w:hAnsi="Arial" w:cs="Arial"/>
                <w:sz w:val="16"/>
              </w:rPr>
              <w:t>Maksymalna powierzchnia podbudowy przy-padająca 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76778D">
            <w:pPr>
              <w:pStyle w:val="tekstost"/>
              <w:spacing w:before="60" w:after="60"/>
              <w:jc w:val="center"/>
              <w:rPr>
                <w:rFonts w:ascii="Arial" w:hAnsi="Arial" w:cs="Arial"/>
              </w:rPr>
            </w:pPr>
            <w:r>
              <w:rPr>
                <w:rFonts w:ascii="Arial" w:hAnsi="Arial" w:cs="Arial"/>
              </w:rPr>
              <w:t>1</w:t>
            </w:r>
          </w:p>
        </w:tc>
        <w:tc>
          <w:tcPr>
            <w:tcW w:w="4394" w:type="dxa"/>
          </w:tcPr>
          <w:p w:rsidR="00836F80" w:rsidRDefault="00836F80" w:rsidP="0076778D">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76778D">
            <w:pPr>
              <w:pStyle w:val="tekstost"/>
              <w:spacing w:before="60" w:after="60"/>
              <w:jc w:val="center"/>
              <w:rPr>
                <w:rFonts w:ascii="Arial" w:hAnsi="Arial" w:cs="Arial"/>
              </w:rPr>
            </w:pPr>
          </w:p>
        </w:tc>
        <w:tc>
          <w:tcPr>
            <w:tcW w:w="1311" w:type="dxa"/>
          </w:tcPr>
          <w:p w:rsidR="00836F80" w:rsidRDefault="00836F80" w:rsidP="0076778D">
            <w:pPr>
              <w:pStyle w:val="tekstost"/>
              <w:jc w:val="center"/>
              <w:rPr>
                <w:rFonts w:ascii="Arial" w:hAnsi="Arial" w:cs="Arial"/>
              </w:rPr>
            </w:pPr>
          </w:p>
        </w:tc>
      </w:tr>
      <w:tr w:rsidR="00836F80" w:rsidTr="00C3646C">
        <w:tc>
          <w:tcPr>
            <w:tcW w:w="496" w:type="dxa"/>
          </w:tcPr>
          <w:p w:rsidR="00836F80" w:rsidRDefault="00836F80" w:rsidP="0076778D">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76778D">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76778D">
            <w:pPr>
              <w:pStyle w:val="tekstost"/>
              <w:spacing w:after="60"/>
              <w:jc w:val="center"/>
              <w:rPr>
                <w:rFonts w:ascii="Arial" w:hAnsi="Arial" w:cs="Arial"/>
              </w:rPr>
            </w:pPr>
            <w:r>
              <w:rPr>
                <w:rFonts w:ascii="Arial" w:hAnsi="Arial" w:cs="Arial"/>
              </w:rPr>
              <w:t>2</w:t>
            </w:r>
          </w:p>
        </w:tc>
        <w:tc>
          <w:tcPr>
            <w:tcW w:w="1311" w:type="dxa"/>
          </w:tcPr>
          <w:p w:rsidR="00836F80" w:rsidRDefault="00836F80" w:rsidP="0076778D">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76778D">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76778D">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76778D">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76778D">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76778D">
            <w:pPr>
              <w:pStyle w:val="tekstost"/>
              <w:spacing w:before="180" w:after="60"/>
              <w:jc w:val="center"/>
              <w:rPr>
                <w:rFonts w:ascii="Arial" w:hAnsi="Arial" w:cs="Arial"/>
              </w:rPr>
            </w:pPr>
            <w:r>
              <w:rPr>
                <w:rFonts w:ascii="Arial" w:hAnsi="Arial" w:cs="Arial"/>
              </w:rPr>
              <w:lastRenderedPageBreak/>
              <w:t>4</w:t>
            </w:r>
          </w:p>
        </w:tc>
        <w:tc>
          <w:tcPr>
            <w:tcW w:w="4394" w:type="dxa"/>
          </w:tcPr>
          <w:p w:rsidR="00836F80" w:rsidRDefault="00836F80" w:rsidP="0076778D">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76778D">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Wilgotność mieszanki powinna odpowiadać wilgotności optymalnej, określonej według próby Proctora,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Zagęszczenie każdej warstwy powinno odbywać się aż do osiągnięcia wymaganego wskaźnika zagęszczenia I</w:t>
      </w:r>
      <w:r>
        <w:rPr>
          <w:vertAlign w:val="subscript"/>
        </w:rPr>
        <w:t>s</w:t>
      </w:r>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457874399"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457874400"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[MPa],</w:t>
      </w:r>
    </w:p>
    <w:p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p</w:t>
      </w:r>
      <w:r>
        <w:rPr>
          <w:rFonts w:ascii="Arial" w:hAnsi="Arial" w:cs="Arial"/>
        </w:rPr>
        <w:t xml:space="preserve"> – różnica nacisków [MPa],</w:t>
      </w:r>
    </w:p>
    <w:p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s</w:t>
      </w:r>
      <w:r>
        <w:rPr>
          <w:rFonts w:ascii="Arial" w:hAnsi="Arial" w:cs="Arial"/>
        </w:rPr>
        <w:t xml:space="preserve"> – przyrost osiadań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Końcowe obciążenie płyty powinno być doprowadzone do wartości 0,45 MPa.</w:t>
      </w:r>
    </w:p>
    <w:p w:rsidR="00836F80" w:rsidRDefault="00836F80" w:rsidP="00AE3A5F">
      <w:pPr>
        <w:spacing w:before="0" w:after="0"/>
        <w:rPr>
          <w:rFonts w:ascii="Arial" w:hAnsi="Arial" w:cs="Arial"/>
        </w:rPr>
      </w:pPr>
      <w:r>
        <w:rPr>
          <w:rFonts w:ascii="Arial" w:hAnsi="Arial" w:cs="Arial"/>
        </w:rPr>
        <w:t>Przyrost obciążenia jednostkowego Δ</w:t>
      </w:r>
      <w:r>
        <w:rPr>
          <w:rFonts w:ascii="Arial" w:hAnsi="Arial" w:cs="Arial"/>
          <w:i/>
        </w:rPr>
        <w:t xml:space="preserve">p </w:t>
      </w:r>
      <w:r>
        <w:rPr>
          <w:rFonts w:ascii="Arial" w:hAnsi="Arial" w:cs="Arial"/>
        </w:rPr>
        <w:t>powinien być rejestrowany w zakresie 0,15 MPa do 0,25 MPa.</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bookmarkStart w:id="68" w:name="_GoBack"/>
      <w:bookmarkEnd w:id="68"/>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76778D">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76778D">
            <w:pPr>
              <w:ind w:right="-11"/>
              <w:jc w:val="center"/>
              <w:rPr>
                <w:rFonts w:ascii="Arial" w:hAnsi="Arial" w:cs="Arial"/>
                <w:b/>
              </w:rPr>
            </w:pPr>
            <w:r>
              <w:rPr>
                <w:rFonts w:ascii="Arial" w:hAnsi="Arial" w:cs="Arial"/>
              </w:rPr>
              <w:lastRenderedPageBreak/>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76778D">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76778D">
            <w:pPr>
              <w:ind w:right="-11"/>
              <w:jc w:val="center"/>
              <w:rPr>
                <w:rFonts w:ascii="Arial" w:hAnsi="Arial" w:cs="Arial"/>
                <w:b/>
              </w:rPr>
            </w:pPr>
            <w:r>
              <w:rPr>
                <w:rFonts w:ascii="Arial" w:hAnsi="Arial" w:cs="Arial"/>
              </w:rPr>
              <w:t>Minimalna częstotliwość pomiarów</w:t>
            </w:r>
          </w:p>
        </w:tc>
      </w:tr>
      <w:tr w:rsidR="00836F80" w:rsidTr="0076778D">
        <w:tc>
          <w:tcPr>
            <w:tcW w:w="637" w:type="dxa"/>
            <w:tcBorders>
              <w:top w:val="nil"/>
              <w:left w:val="single" w:sz="6" w:space="0" w:color="auto"/>
              <w:bottom w:val="single" w:sz="6" w:space="0" w:color="auto"/>
              <w:right w:val="single" w:sz="6" w:space="0" w:color="auto"/>
            </w:tcBorders>
          </w:tcPr>
          <w:p w:rsidR="00836F80" w:rsidRDefault="00836F80" w:rsidP="0076778D">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76778D">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76778D">
            <w:pPr>
              <w:ind w:right="-14"/>
              <w:rPr>
                <w:rFonts w:ascii="Arial" w:hAnsi="Arial" w:cs="Arial"/>
                <w:b/>
              </w:rPr>
            </w:pPr>
            <w:r>
              <w:rPr>
                <w:rFonts w:ascii="Arial" w:hAnsi="Arial" w:cs="Arial"/>
              </w:rPr>
              <w:t>10 razy na 1 km</w:t>
            </w:r>
          </w:p>
        </w:tc>
      </w:tr>
      <w:tr w:rsidR="00836F80" w:rsidTr="0076778D">
        <w:tc>
          <w:tcPr>
            <w:tcW w:w="637" w:type="dxa"/>
            <w:tcBorders>
              <w:top w:val="single" w:sz="6" w:space="0" w:color="auto"/>
              <w:left w:val="single" w:sz="6" w:space="0" w:color="auto"/>
              <w:bottom w:val="single" w:sz="6" w:space="0" w:color="auto"/>
              <w:right w:val="single" w:sz="6" w:space="0" w:color="auto"/>
            </w:tcBorders>
          </w:tcPr>
          <w:p w:rsidR="00836F80" w:rsidRDefault="00836F80" w:rsidP="0076778D">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76778D">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76778D">
            <w:pPr>
              <w:ind w:right="-11"/>
              <w:rPr>
                <w:rFonts w:ascii="Arial" w:hAnsi="Arial" w:cs="Arial"/>
                <w:b/>
              </w:rPr>
            </w:pPr>
            <w:r>
              <w:rPr>
                <w:rFonts w:ascii="Arial" w:hAnsi="Arial" w:cs="Arial"/>
              </w:rPr>
              <w:t>w sposób ciągły planografem albo co        20 m łatą na każdym pasie ruchu</w:t>
            </w:r>
          </w:p>
        </w:tc>
      </w:tr>
      <w:tr w:rsidR="00836F80" w:rsidTr="0076778D">
        <w:tc>
          <w:tcPr>
            <w:tcW w:w="637" w:type="dxa"/>
            <w:tcBorders>
              <w:top w:val="single" w:sz="6" w:space="0" w:color="auto"/>
              <w:left w:val="single" w:sz="6" w:space="0" w:color="auto"/>
              <w:bottom w:val="single" w:sz="6" w:space="0" w:color="auto"/>
              <w:right w:val="single" w:sz="6" w:space="0" w:color="auto"/>
            </w:tcBorders>
          </w:tcPr>
          <w:p w:rsidR="00836F80" w:rsidRDefault="00836F80" w:rsidP="0076778D">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76778D">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76778D">
            <w:pPr>
              <w:ind w:right="-14"/>
              <w:rPr>
                <w:rFonts w:ascii="Arial" w:hAnsi="Arial" w:cs="Arial"/>
                <w:b/>
              </w:rPr>
            </w:pPr>
            <w:r>
              <w:rPr>
                <w:rFonts w:ascii="Arial" w:hAnsi="Arial" w:cs="Arial"/>
              </w:rPr>
              <w:t>10 razy na 1 km</w:t>
            </w:r>
          </w:p>
        </w:tc>
      </w:tr>
      <w:tr w:rsidR="00836F80" w:rsidTr="0076778D">
        <w:tc>
          <w:tcPr>
            <w:tcW w:w="637" w:type="dxa"/>
            <w:tcBorders>
              <w:top w:val="single" w:sz="6" w:space="0" w:color="auto"/>
              <w:left w:val="single" w:sz="6" w:space="0" w:color="auto"/>
              <w:bottom w:val="single" w:sz="6" w:space="0" w:color="auto"/>
              <w:right w:val="single" w:sz="6" w:space="0" w:color="auto"/>
            </w:tcBorders>
          </w:tcPr>
          <w:p w:rsidR="00836F80" w:rsidRDefault="00836F80" w:rsidP="0076778D">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76778D">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76778D">
            <w:pPr>
              <w:ind w:right="-14"/>
              <w:rPr>
                <w:rFonts w:ascii="Arial" w:hAnsi="Arial" w:cs="Arial"/>
                <w:b/>
              </w:rPr>
            </w:pPr>
            <w:r>
              <w:rPr>
                <w:rFonts w:ascii="Arial" w:hAnsi="Arial" w:cs="Arial"/>
              </w:rPr>
              <w:t>10 razy na 1 km</w:t>
            </w:r>
          </w:p>
        </w:tc>
      </w:tr>
      <w:tr w:rsidR="00836F80" w:rsidTr="0076778D">
        <w:tc>
          <w:tcPr>
            <w:tcW w:w="637" w:type="dxa"/>
            <w:tcBorders>
              <w:top w:val="single" w:sz="6" w:space="0" w:color="auto"/>
              <w:left w:val="single" w:sz="6" w:space="0" w:color="auto"/>
              <w:bottom w:val="single" w:sz="6" w:space="0" w:color="auto"/>
              <w:right w:val="single" w:sz="6" w:space="0" w:color="auto"/>
            </w:tcBorders>
          </w:tcPr>
          <w:p w:rsidR="00836F80" w:rsidRDefault="00836F80" w:rsidP="0076778D">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76778D">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76778D">
            <w:pPr>
              <w:ind w:right="-11"/>
              <w:rPr>
                <w:rFonts w:ascii="Arial" w:hAnsi="Arial" w:cs="Arial"/>
              </w:rPr>
            </w:pPr>
            <w:r>
              <w:rPr>
                <w:rFonts w:ascii="Arial" w:hAnsi="Arial" w:cs="Arial"/>
              </w:rPr>
              <w:t>co 100 m</w:t>
            </w:r>
          </w:p>
        </w:tc>
      </w:tr>
      <w:tr w:rsidR="00836F80" w:rsidTr="0076778D">
        <w:tc>
          <w:tcPr>
            <w:tcW w:w="637" w:type="dxa"/>
            <w:tcBorders>
              <w:top w:val="single" w:sz="6" w:space="0" w:color="auto"/>
              <w:left w:val="single" w:sz="6" w:space="0" w:color="auto"/>
              <w:bottom w:val="single" w:sz="6" w:space="0" w:color="auto"/>
              <w:right w:val="single" w:sz="6" w:space="0" w:color="auto"/>
            </w:tcBorders>
          </w:tcPr>
          <w:p w:rsidR="00836F80" w:rsidRDefault="00836F80" w:rsidP="0076778D">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76778D">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76778D">
            <w:pPr>
              <w:ind w:right="-11"/>
              <w:jc w:val="left"/>
              <w:rPr>
                <w:rFonts w:ascii="Arial" w:hAnsi="Arial" w:cs="Arial"/>
                <w:b/>
              </w:rPr>
            </w:pPr>
            <w:r>
              <w:rPr>
                <w:rFonts w:ascii="Arial" w:hAnsi="Arial" w:cs="Arial"/>
              </w:rPr>
              <w:t>co 100 m</w:t>
            </w:r>
          </w:p>
        </w:tc>
      </w:tr>
      <w:tr w:rsidR="00836F80" w:rsidTr="0076778D">
        <w:tc>
          <w:tcPr>
            <w:tcW w:w="637" w:type="dxa"/>
            <w:tcBorders>
              <w:top w:val="single" w:sz="6" w:space="0" w:color="auto"/>
              <w:left w:val="single" w:sz="6" w:space="0" w:color="auto"/>
              <w:bottom w:val="single" w:sz="6" w:space="0" w:color="auto"/>
              <w:right w:val="single" w:sz="6" w:space="0" w:color="auto"/>
            </w:tcBorders>
          </w:tcPr>
          <w:p w:rsidR="00836F80" w:rsidRDefault="00836F80" w:rsidP="0076778D">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76778D">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76778D">
            <w:pPr>
              <w:ind w:right="-11"/>
              <w:rPr>
                <w:rFonts w:ascii="Arial" w:hAnsi="Arial" w:cs="Arial"/>
              </w:rPr>
            </w:pPr>
            <w:r>
              <w:rPr>
                <w:rFonts w:ascii="Arial" w:hAnsi="Arial" w:cs="Arial"/>
              </w:rPr>
              <w:t>Podczas budowy:</w:t>
            </w:r>
          </w:p>
          <w:p w:rsidR="00836F80" w:rsidRDefault="00836F80" w:rsidP="0076778D">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76778D">
            <w:pPr>
              <w:ind w:right="-11"/>
              <w:rPr>
                <w:rFonts w:ascii="Arial" w:hAnsi="Arial" w:cs="Arial"/>
              </w:rPr>
            </w:pPr>
            <w:r>
              <w:rPr>
                <w:rFonts w:ascii="Arial" w:hAnsi="Arial" w:cs="Arial"/>
              </w:rPr>
              <w:t>Przed odbiorem:</w:t>
            </w:r>
          </w:p>
          <w:p w:rsidR="00836F80" w:rsidRDefault="00836F80" w:rsidP="0076778D">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76778D">
        <w:tc>
          <w:tcPr>
            <w:tcW w:w="637" w:type="dxa"/>
            <w:tcBorders>
              <w:top w:val="single" w:sz="6" w:space="0" w:color="auto"/>
              <w:left w:val="single" w:sz="6" w:space="0" w:color="auto"/>
              <w:bottom w:val="single" w:sz="6" w:space="0" w:color="auto"/>
              <w:right w:val="single" w:sz="6" w:space="0" w:color="auto"/>
            </w:tcBorders>
          </w:tcPr>
          <w:p w:rsidR="00836F80" w:rsidRDefault="00836F80" w:rsidP="0076778D">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76778D">
            <w:pPr>
              <w:ind w:right="-11"/>
              <w:rPr>
                <w:rFonts w:ascii="Arial" w:hAnsi="Arial" w:cs="Arial"/>
              </w:rPr>
            </w:pPr>
            <w:r>
              <w:rPr>
                <w:rFonts w:ascii="Arial" w:hAnsi="Arial" w:cs="Arial"/>
              </w:rPr>
              <w:t>Nośność podbudowy:</w:t>
            </w:r>
          </w:p>
          <w:p w:rsidR="00836F80" w:rsidRDefault="00836F80" w:rsidP="0076778D">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76778D">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planografem.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76778D">
        <w:tblPrEx>
          <w:tblCellMar>
            <w:top w:w="0" w:type="dxa"/>
            <w:bottom w:w="0" w:type="dxa"/>
          </w:tblCellMar>
        </w:tblPrEx>
        <w:trPr>
          <w:cantSplit/>
        </w:trPr>
        <w:tc>
          <w:tcPr>
            <w:tcW w:w="540" w:type="dxa"/>
            <w:vMerge w:val="restart"/>
            <w:shd w:val="pct5" w:color="auto" w:fill="FFFFFF"/>
            <w:vAlign w:val="center"/>
          </w:tcPr>
          <w:p w:rsidR="00836F80" w:rsidRDefault="00836F80" w:rsidP="0076778D">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76778D">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76778D">
            <w:pPr>
              <w:jc w:val="center"/>
              <w:rPr>
                <w:rFonts w:ascii="Arial" w:hAnsi="Arial" w:cs="Arial"/>
              </w:rPr>
            </w:pPr>
            <w:r>
              <w:rPr>
                <w:rFonts w:ascii="Arial" w:hAnsi="Arial" w:cs="Arial"/>
              </w:rPr>
              <w:t>Wymagane cechy podbudowy</w:t>
            </w:r>
          </w:p>
        </w:tc>
      </w:tr>
      <w:tr w:rsidR="00836F80" w:rsidTr="0076778D">
        <w:tblPrEx>
          <w:tblCellMar>
            <w:top w:w="0" w:type="dxa"/>
            <w:bottom w:w="0" w:type="dxa"/>
          </w:tblCellMar>
        </w:tblPrEx>
        <w:trPr>
          <w:cantSplit/>
        </w:trPr>
        <w:tc>
          <w:tcPr>
            <w:tcW w:w="540" w:type="dxa"/>
            <w:vMerge/>
          </w:tcPr>
          <w:p w:rsidR="00836F80" w:rsidRDefault="00836F80" w:rsidP="0076778D">
            <w:pPr>
              <w:jc w:val="center"/>
              <w:rPr>
                <w:rFonts w:ascii="Arial" w:hAnsi="Arial" w:cs="Arial"/>
              </w:rPr>
            </w:pPr>
          </w:p>
        </w:tc>
        <w:tc>
          <w:tcPr>
            <w:tcW w:w="2579" w:type="dxa"/>
            <w:vMerge/>
          </w:tcPr>
          <w:p w:rsidR="00836F80" w:rsidRDefault="00836F80" w:rsidP="0076778D">
            <w:pPr>
              <w:jc w:val="center"/>
              <w:rPr>
                <w:rFonts w:ascii="Arial" w:hAnsi="Arial" w:cs="Arial"/>
              </w:rPr>
            </w:pPr>
          </w:p>
        </w:tc>
        <w:tc>
          <w:tcPr>
            <w:tcW w:w="2268" w:type="dxa"/>
            <w:vMerge w:val="restart"/>
            <w:shd w:val="pct5" w:color="auto" w:fill="FFFFFF"/>
            <w:vAlign w:val="center"/>
          </w:tcPr>
          <w:p w:rsidR="00836F80" w:rsidRDefault="00836F80" w:rsidP="0076778D">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76778D">
            <w:pPr>
              <w:jc w:val="center"/>
              <w:rPr>
                <w:rFonts w:ascii="Arial" w:hAnsi="Arial" w:cs="Arial"/>
              </w:rPr>
            </w:pPr>
            <w:r>
              <w:rPr>
                <w:rFonts w:ascii="Arial" w:hAnsi="Arial" w:cs="Arial"/>
              </w:rPr>
              <w:t>Minimalny moduł odkształcenia mierzony płytą o średnicy 30 cm, MPa</w:t>
            </w:r>
          </w:p>
        </w:tc>
      </w:tr>
      <w:tr w:rsidR="00836F80" w:rsidTr="0076778D">
        <w:tblPrEx>
          <w:tblCellMar>
            <w:top w:w="0" w:type="dxa"/>
            <w:bottom w:w="0" w:type="dxa"/>
          </w:tblCellMar>
        </w:tblPrEx>
        <w:trPr>
          <w:cantSplit/>
        </w:trPr>
        <w:tc>
          <w:tcPr>
            <w:tcW w:w="540" w:type="dxa"/>
            <w:vMerge/>
            <w:tcBorders>
              <w:bottom w:val="single" w:sz="4" w:space="0" w:color="auto"/>
            </w:tcBorders>
          </w:tcPr>
          <w:p w:rsidR="00836F80" w:rsidRDefault="00836F80" w:rsidP="0076778D">
            <w:pPr>
              <w:jc w:val="center"/>
              <w:rPr>
                <w:rFonts w:ascii="Arial" w:hAnsi="Arial" w:cs="Arial"/>
              </w:rPr>
            </w:pPr>
          </w:p>
        </w:tc>
        <w:tc>
          <w:tcPr>
            <w:tcW w:w="2579" w:type="dxa"/>
            <w:vMerge/>
            <w:tcBorders>
              <w:bottom w:val="single" w:sz="4" w:space="0" w:color="auto"/>
            </w:tcBorders>
          </w:tcPr>
          <w:p w:rsidR="00836F80" w:rsidRDefault="00836F80" w:rsidP="0076778D">
            <w:pPr>
              <w:jc w:val="center"/>
              <w:rPr>
                <w:rFonts w:ascii="Arial" w:hAnsi="Arial" w:cs="Arial"/>
              </w:rPr>
            </w:pPr>
          </w:p>
        </w:tc>
        <w:tc>
          <w:tcPr>
            <w:tcW w:w="2268" w:type="dxa"/>
            <w:vMerge/>
            <w:tcBorders>
              <w:bottom w:val="single" w:sz="4" w:space="0" w:color="auto"/>
            </w:tcBorders>
          </w:tcPr>
          <w:p w:rsidR="00836F80" w:rsidRDefault="00836F80" w:rsidP="0076778D">
            <w:pPr>
              <w:jc w:val="center"/>
              <w:rPr>
                <w:rFonts w:ascii="Arial" w:hAnsi="Arial" w:cs="Arial"/>
              </w:rPr>
            </w:pPr>
          </w:p>
        </w:tc>
        <w:tc>
          <w:tcPr>
            <w:tcW w:w="1993" w:type="dxa"/>
            <w:tcBorders>
              <w:bottom w:val="single" w:sz="4" w:space="0" w:color="auto"/>
            </w:tcBorders>
            <w:shd w:val="pct5" w:color="auto" w:fill="FFFFFF"/>
          </w:tcPr>
          <w:p w:rsidR="00836F80" w:rsidRDefault="00836F80" w:rsidP="0076778D">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76778D">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76778D">
        <w:tblPrEx>
          <w:tblCellMar>
            <w:top w:w="0" w:type="dxa"/>
            <w:bottom w:w="0" w:type="dxa"/>
          </w:tblCellMar>
        </w:tblPrEx>
        <w:trPr>
          <w:cantSplit/>
        </w:trPr>
        <w:tc>
          <w:tcPr>
            <w:tcW w:w="540" w:type="dxa"/>
            <w:tcBorders>
              <w:top w:val="single" w:sz="4" w:space="0" w:color="auto"/>
              <w:left w:val="single" w:sz="4" w:space="0" w:color="auto"/>
              <w:bottom w:val="single" w:sz="4" w:space="0" w:color="auto"/>
            </w:tcBorders>
          </w:tcPr>
          <w:p w:rsidR="00836F80" w:rsidRDefault="00836F80" w:rsidP="0076778D">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76778D">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76778D">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76778D">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76778D">
            <w:pPr>
              <w:jc w:val="center"/>
              <w:rPr>
                <w:rFonts w:ascii="Arial" w:hAnsi="Arial" w:cs="Arial"/>
              </w:rPr>
            </w:pPr>
            <w:r>
              <w:rPr>
                <w:rFonts w:ascii="Arial" w:hAnsi="Arial" w:cs="Arial"/>
              </w:rPr>
              <w:t>180</w:t>
            </w:r>
          </w:p>
        </w:tc>
      </w:tr>
      <w:tr w:rsidR="00836F80" w:rsidTr="0076778D">
        <w:tblPrEx>
          <w:tblCellMar>
            <w:top w:w="0" w:type="dxa"/>
            <w:bottom w:w="0" w:type="dxa"/>
          </w:tblCellMar>
        </w:tblPrEx>
        <w:trPr>
          <w:cantSplit/>
        </w:trPr>
        <w:tc>
          <w:tcPr>
            <w:tcW w:w="540" w:type="dxa"/>
            <w:tcBorders>
              <w:top w:val="single" w:sz="4" w:space="0" w:color="auto"/>
              <w:left w:val="single" w:sz="4" w:space="0" w:color="auto"/>
              <w:bottom w:val="single" w:sz="4" w:space="0" w:color="auto"/>
            </w:tcBorders>
          </w:tcPr>
          <w:p w:rsidR="00836F80" w:rsidRDefault="00836F80" w:rsidP="0076778D">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76778D">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76778D">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76778D">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76778D">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t>Jednostką obmiarową jest m</w:t>
      </w:r>
      <w:r>
        <w:rPr>
          <w:vertAlign w:val="superscript"/>
        </w:rPr>
        <w:t>2</w:t>
      </w:r>
      <w:r>
        <w:t xml:space="preserve"> (metr kwadratowy) wykonanej i odebranej podbudowy z kruszywa łaman</w:t>
      </w:r>
      <w:r>
        <w:t>ego stabilizowanego mechanicznie</w:t>
      </w:r>
      <w:r>
        <w:t>.</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lastRenderedPageBreak/>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blPrEx>
          <w:tblCellMar>
            <w:top w:w="0" w:type="dxa"/>
            <w:bottom w:w="0" w:type="dxa"/>
          </w:tblCellMar>
        </w:tblPrEx>
        <w:tc>
          <w:tcPr>
            <w:tcW w:w="1241" w:type="dxa"/>
          </w:tcPr>
          <w:p w:rsidR="00836F80" w:rsidRDefault="00836F80" w:rsidP="0076778D">
            <w:pPr>
              <w:pStyle w:val="Styl1"/>
              <w:rPr>
                <w:color w:val="FF0000"/>
              </w:rPr>
            </w:pPr>
            <w:r>
              <w:t>PN-B-04481</w:t>
            </w:r>
          </w:p>
        </w:tc>
        <w:tc>
          <w:tcPr>
            <w:tcW w:w="3518" w:type="dxa"/>
          </w:tcPr>
          <w:p w:rsidR="00836F80" w:rsidRDefault="00836F80" w:rsidP="0076778D">
            <w:pPr>
              <w:pStyle w:val="Styl1"/>
            </w:pPr>
          </w:p>
        </w:tc>
        <w:tc>
          <w:tcPr>
            <w:tcW w:w="4243" w:type="dxa"/>
          </w:tcPr>
          <w:p w:rsidR="00836F80" w:rsidRDefault="00836F80" w:rsidP="0076778D">
            <w:pPr>
              <w:pStyle w:val="Styl1"/>
            </w:pPr>
            <w:r>
              <w:t>Grunty budowlane. Badania próbek gruntu</w:t>
            </w:r>
          </w:p>
        </w:tc>
      </w:tr>
      <w:tr w:rsidR="00836F80" w:rsidTr="00836F80">
        <w:tblPrEx>
          <w:tblCellMar>
            <w:top w:w="0" w:type="dxa"/>
            <w:bottom w:w="0" w:type="dxa"/>
          </w:tblCellMar>
        </w:tblPrEx>
        <w:tc>
          <w:tcPr>
            <w:tcW w:w="1241" w:type="dxa"/>
          </w:tcPr>
          <w:p w:rsidR="00836F80" w:rsidRDefault="00836F80" w:rsidP="0076778D">
            <w:pPr>
              <w:pStyle w:val="Styl1"/>
              <w:rPr>
                <w:color w:val="FF0000"/>
              </w:rPr>
            </w:pPr>
            <w:r>
              <w:t>PN-S-02205</w:t>
            </w:r>
          </w:p>
        </w:tc>
        <w:tc>
          <w:tcPr>
            <w:tcW w:w="3518" w:type="dxa"/>
          </w:tcPr>
          <w:p w:rsidR="00836F80" w:rsidRDefault="00836F80" w:rsidP="0076778D">
            <w:pPr>
              <w:pStyle w:val="Styl1"/>
            </w:pPr>
          </w:p>
        </w:tc>
        <w:tc>
          <w:tcPr>
            <w:tcW w:w="4243" w:type="dxa"/>
          </w:tcPr>
          <w:p w:rsidR="00836F80" w:rsidRDefault="00836F80" w:rsidP="0076778D">
            <w:pPr>
              <w:pStyle w:val="Styl1"/>
              <w:rPr>
                <w:color w:val="FF0000"/>
              </w:rPr>
            </w:pPr>
            <w:r>
              <w:t>Drogi samochodowe. Roboty ziemne. Wymagania i badania</w:t>
            </w:r>
          </w:p>
        </w:tc>
      </w:tr>
      <w:tr w:rsidR="00836F80" w:rsidTr="00836F80">
        <w:tblPrEx>
          <w:tblCellMar>
            <w:top w:w="0" w:type="dxa"/>
            <w:bottom w:w="0" w:type="dxa"/>
          </w:tblCellMar>
        </w:tblPrEx>
        <w:tc>
          <w:tcPr>
            <w:tcW w:w="1241" w:type="dxa"/>
          </w:tcPr>
          <w:p w:rsidR="00836F80" w:rsidRDefault="00836F80" w:rsidP="0076778D">
            <w:pPr>
              <w:pStyle w:val="Styl1"/>
            </w:pPr>
            <w:r>
              <w:rPr>
                <w:spacing w:val="-3"/>
              </w:rPr>
              <w:t>PN-EN 1008</w:t>
            </w:r>
          </w:p>
        </w:tc>
        <w:tc>
          <w:tcPr>
            <w:tcW w:w="3518" w:type="dxa"/>
          </w:tcPr>
          <w:p w:rsidR="00836F80" w:rsidRDefault="00836F80" w:rsidP="0076778D">
            <w:pPr>
              <w:pStyle w:val="Styl1"/>
              <w:rPr>
                <w:rStyle w:val="biggertext"/>
              </w:rPr>
            </w:pPr>
          </w:p>
        </w:tc>
        <w:tc>
          <w:tcPr>
            <w:tcW w:w="4243" w:type="dxa"/>
          </w:tcPr>
          <w:p w:rsidR="00836F80" w:rsidRDefault="00836F80" w:rsidP="0076778D">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blPrEx>
          <w:tblCellMar>
            <w:top w:w="0" w:type="dxa"/>
            <w:bottom w:w="0" w:type="dxa"/>
          </w:tblCellMar>
        </w:tblPrEx>
        <w:tc>
          <w:tcPr>
            <w:tcW w:w="1241" w:type="dxa"/>
          </w:tcPr>
          <w:p w:rsidR="00836F80" w:rsidRDefault="00836F80" w:rsidP="0076778D">
            <w:pPr>
              <w:pStyle w:val="Styl1"/>
              <w:rPr>
                <w:spacing w:val="-3"/>
              </w:rPr>
            </w:pPr>
            <w:r>
              <w:t>PN-S-06102</w:t>
            </w:r>
          </w:p>
        </w:tc>
        <w:tc>
          <w:tcPr>
            <w:tcW w:w="3518" w:type="dxa"/>
          </w:tcPr>
          <w:p w:rsidR="00836F80" w:rsidRDefault="00836F80" w:rsidP="0076778D">
            <w:pPr>
              <w:pStyle w:val="Styl1"/>
              <w:rPr>
                <w:rStyle w:val="biggertext"/>
              </w:rPr>
            </w:pPr>
          </w:p>
        </w:tc>
        <w:tc>
          <w:tcPr>
            <w:tcW w:w="4243" w:type="dxa"/>
          </w:tcPr>
          <w:p w:rsidR="00836F80" w:rsidRDefault="00836F80" w:rsidP="0076778D">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76778D">
        <w:tblPrEx>
          <w:tblCellMar>
            <w:top w:w="0" w:type="dxa"/>
            <w:bottom w:w="0" w:type="dxa"/>
          </w:tblCellMar>
        </w:tblPrEx>
        <w:tc>
          <w:tcPr>
            <w:tcW w:w="426" w:type="dxa"/>
          </w:tcPr>
          <w:p w:rsidR="00836F80" w:rsidRDefault="00836F80" w:rsidP="0076778D">
            <w:pPr>
              <w:pStyle w:val="Styl1"/>
            </w:pPr>
            <w:r>
              <w:t>1</w:t>
            </w:r>
          </w:p>
        </w:tc>
        <w:tc>
          <w:tcPr>
            <w:tcW w:w="8646" w:type="dxa"/>
          </w:tcPr>
          <w:p w:rsidR="00836F80" w:rsidRDefault="00836F80" w:rsidP="0076778D">
            <w:pPr>
              <w:pStyle w:val="Styl1"/>
            </w:pPr>
            <w:r>
              <w:t>Katalog typowych konstrukcji nawierzchni podatnych i półsztywnych, IBDiM - Warszawa 1997.</w:t>
            </w:r>
          </w:p>
        </w:tc>
      </w:tr>
      <w:tr w:rsidR="00836F80" w:rsidTr="0076778D">
        <w:tblPrEx>
          <w:tblCellMar>
            <w:top w:w="0" w:type="dxa"/>
            <w:bottom w:w="0" w:type="dxa"/>
          </w:tblCellMar>
        </w:tblPrEx>
        <w:tc>
          <w:tcPr>
            <w:tcW w:w="426" w:type="dxa"/>
          </w:tcPr>
          <w:p w:rsidR="00836F80" w:rsidRDefault="00836F80" w:rsidP="0076778D">
            <w:pPr>
              <w:pStyle w:val="Styl1"/>
            </w:pPr>
            <w:r>
              <w:t>2</w:t>
            </w:r>
          </w:p>
        </w:tc>
        <w:tc>
          <w:tcPr>
            <w:tcW w:w="8646" w:type="dxa"/>
          </w:tcPr>
          <w:p w:rsidR="00836F80" w:rsidRDefault="00836F80" w:rsidP="0076778D">
            <w:pPr>
              <w:pStyle w:val="Styl1"/>
            </w:pPr>
            <w:r>
              <w:t>Instrukcja badań podłoża gruntowego budowli drogowych i mostowych”- część 2, IBDiM - Warszawa 1998.</w:t>
            </w:r>
          </w:p>
        </w:tc>
      </w:tr>
    </w:tbl>
    <w:p w:rsidR="00542779" w:rsidRPr="00836F80" w:rsidRDefault="00542779" w:rsidP="00836F80"/>
    <w:sectPr w:rsidR="00542779" w:rsidRPr="00836F8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8AA" w:rsidRDefault="008368AA" w:rsidP="00836F80">
      <w:pPr>
        <w:spacing w:before="0" w:after="0"/>
      </w:pPr>
      <w:r>
        <w:separator/>
      </w:r>
    </w:p>
  </w:endnote>
  <w:endnote w:type="continuationSeparator" w:id="0">
    <w:p w:rsidR="008368AA" w:rsidRDefault="008368AA"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Content>
      <w:p w:rsidR="00836F80" w:rsidRDefault="00836F80">
        <w:pPr>
          <w:pStyle w:val="Stopka"/>
          <w:jc w:val="right"/>
        </w:pPr>
        <w:r>
          <w:fldChar w:fldCharType="begin"/>
        </w:r>
        <w:r>
          <w:instrText>PAGE   \* MERGEFORMAT</w:instrText>
        </w:r>
        <w:r>
          <w:fldChar w:fldCharType="separate"/>
        </w:r>
        <w:r w:rsidR="00AE3A5F">
          <w:rPr>
            <w:noProof/>
          </w:rPr>
          <w:t>8</w:t>
        </w:r>
        <w:r>
          <w:fldChar w:fldCharType="end"/>
        </w:r>
      </w:p>
    </w:sdtContent>
  </w:sdt>
  <w:p w:rsidR="00836F80" w:rsidRDefault="00836F8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8AA" w:rsidRDefault="008368AA" w:rsidP="00836F80">
      <w:pPr>
        <w:spacing w:before="0" w:after="0"/>
      </w:pPr>
      <w:r>
        <w:separator/>
      </w:r>
    </w:p>
  </w:footnote>
  <w:footnote w:type="continuationSeparator" w:id="0">
    <w:p w:rsidR="008368AA" w:rsidRDefault="008368AA" w:rsidP="00836F8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E48"/>
    <w:rsid w:val="00542745"/>
    <w:rsid w:val="00542779"/>
    <w:rsid w:val="0055125B"/>
    <w:rsid w:val="005539E5"/>
    <w:rsid w:val="00556FEB"/>
    <w:rsid w:val="00562FA1"/>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B00E9"/>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2468</Words>
  <Characters>14813</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3</cp:revision>
  <dcterms:created xsi:type="dcterms:W3CDTF">2014-04-01T14:02:00Z</dcterms:created>
  <dcterms:modified xsi:type="dcterms:W3CDTF">2014-04-01T14:20:00Z</dcterms:modified>
</cp:coreProperties>
</file>