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B87B5F">
      <w:pPr>
        <w:pStyle w:val="Nagwek1"/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</w:t>
      </w:r>
      <w:bookmarkStart w:id="1" w:name="_GoBack"/>
      <w:bookmarkEnd w:id="1"/>
      <w:r w:rsidRPr="00B87B5F">
        <w:rPr>
          <w:rFonts w:ascii="Arial" w:hAnsi="Arial" w:cs="Arial"/>
        </w:rPr>
        <w:t>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- rozścielenie humusu grubości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2" w:name="_Toc428243643"/>
      <w:bookmarkStart w:id="3" w:name="_Toc428323648"/>
      <w:bookmarkStart w:id="4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2"/>
      <w:bookmarkEnd w:id="3"/>
      <w:bookmarkEnd w:id="4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miejscu i dostarczona na plac budowy - nie może być zagruzowana, przerośnięta korzeniami,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4.2. Transport materiałów do wykonania </w:t>
      </w:r>
      <w:proofErr w:type="spellStart"/>
      <w:r w:rsidRPr="00B87B5F">
        <w:rPr>
          <w:rFonts w:cs="Arial"/>
          <w:sz w:val="20"/>
        </w:rPr>
        <w:t>nasadzeń</w:t>
      </w:r>
      <w:proofErr w:type="spellEnd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dosiewania płaszczyzn trawników o zbyt małej gęstości wykiełkowanych </w:t>
      </w:r>
      <w:proofErr w:type="spellStart"/>
      <w:r w:rsidRPr="00B87B5F">
        <w:rPr>
          <w:rFonts w:ascii="Arial" w:hAnsi="Arial" w:cs="Arial"/>
        </w:rPr>
        <w:t>zdziebeł</w:t>
      </w:r>
      <w:proofErr w:type="spellEnd"/>
      <w:r w:rsidRPr="00B87B5F">
        <w:rPr>
          <w:rFonts w:ascii="Arial" w:hAnsi="Arial" w:cs="Arial"/>
        </w:rPr>
        <w:t xml:space="preserve">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 xml:space="preserve">Kompost </w:t>
            </w:r>
            <w:proofErr w:type="spellStart"/>
            <w:r w:rsidRPr="00B87B5F">
              <w:rPr>
                <w:rFonts w:ascii="Arial" w:hAnsi="Arial" w:cs="Arial"/>
              </w:rPr>
              <w:t>fekaliowo</w:t>
            </w:r>
            <w:proofErr w:type="spellEnd"/>
            <w:r w:rsidRPr="00B87B5F">
              <w:rPr>
                <w:rFonts w:ascii="Arial" w:hAnsi="Arial" w:cs="Arial"/>
              </w:rPr>
              <w:t>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330FF8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456" w:rsidRDefault="00F02456" w:rsidP="00847E05">
      <w:r>
        <w:separator/>
      </w:r>
    </w:p>
  </w:endnote>
  <w:endnote w:type="continuationSeparator" w:id="0">
    <w:p w:rsidR="00F02456" w:rsidRDefault="00F02456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330FF8">
          <w:rPr>
            <w:rFonts w:ascii="Arial" w:hAnsi="Arial" w:cs="Arial"/>
            <w:noProof/>
          </w:rPr>
          <w:t>4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456" w:rsidRDefault="00F02456" w:rsidP="00847E05">
      <w:r>
        <w:separator/>
      </w:r>
    </w:p>
  </w:footnote>
  <w:footnote w:type="continuationSeparator" w:id="0">
    <w:p w:rsidR="00F02456" w:rsidRDefault="00F02456" w:rsidP="00847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0FF8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398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2456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996</Words>
  <Characters>5982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2015-01-11T20:19:00Z</dcterms:created>
  <dcterms:modified xsi:type="dcterms:W3CDTF">2017-01-08T15:29:00Z</dcterms:modified>
</cp:coreProperties>
</file>